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25D" w:rsidRPr="00533A49" w:rsidRDefault="00533A49" w:rsidP="00533A49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66325D" w:rsidRPr="00533A49">
        <w:rPr>
          <w:rFonts w:ascii="Times New Roman" w:hAnsi="Times New Roman"/>
          <w:b/>
          <w:sz w:val="24"/>
          <w:szCs w:val="24"/>
        </w:rPr>
        <w:t>редставлени</w:t>
      </w:r>
      <w:r>
        <w:rPr>
          <w:rFonts w:ascii="Times New Roman" w:hAnsi="Times New Roman"/>
          <w:b/>
          <w:sz w:val="24"/>
          <w:szCs w:val="24"/>
        </w:rPr>
        <w:t>е</w:t>
      </w:r>
      <w:r w:rsidR="0066325D" w:rsidRPr="00533A49">
        <w:rPr>
          <w:rFonts w:ascii="Times New Roman" w:hAnsi="Times New Roman"/>
          <w:b/>
          <w:sz w:val="24"/>
          <w:szCs w:val="24"/>
        </w:rPr>
        <w:t xml:space="preserve"> информации о ходе реализации плана мероприятий</w:t>
      </w:r>
    </w:p>
    <w:p w:rsidR="000904D0" w:rsidRPr="00533A49" w:rsidRDefault="0066325D" w:rsidP="00533A49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33A49">
        <w:rPr>
          <w:rFonts w:ascii="Times New Roman" w:hAnsi="Times New Roman"/>
          <w:b/>
          <w:sz w:val="24"/>
          <w:szCs w:val="24"/>
        </w:rPr>
        <w:t>по содействию развитию конкуренци</w:t>
      </w:r>
      <w:r w:rsidR="00566D96" w:rsidRPr="00533A49">
        <w:rPr>
          <w:rFonts w:ascii="Times New Roman" w:hAnsi="Times New Roman"/>
          <w:b/>
          <w:sz w:val="24"/>
          <w:szCs w:val="24"/>
        </w:rPr>
        <w:t xml:space="preserve">и в Белгородской области за </w:t>
      </w:r>
      <w:r w:rsidR="00A30CE1" w:rsidRPr="00533A49">
        <w:rPr>
          <w:rFonts w:ascii="Times New Roman" w:hAnsi="Times New Roman"/>
          <w:b/>
          <w:sz w:val="24"/>
          <w:szCs w:val="24"/>
        </w:rPr>
        <w:t>1 полугодие 2023</w:t>
      </w:r>
      <w:r w:rsidR="00566D96" w:rsidRPr="00533A49">
        <w:rPr>
          <w:rFonts w:ascii="Times New Roman" w:hAnsi="Times New Roman"/>
          <w:b/>
          <w:sz w:val="24"/>
          <w:szCs w:val="24"/>
        </w:rPr>
        <w:t xml:space="preserve"> год</w:t>
      </w:r>
      <w:r w:rsidR="00A30CE1" w:rsidRPr="00533A49">
        <w:rPr>
          <w:rFonts w:ascii="Times New Roman" w:hAnsi="Times New Roman"/>
          <w:b/>
          <w:sz w:val="24"/>
          <w:szCs w:val="24"/>
        </w:rPr>
        <w:t>а</w:t>
      </w:r>
    </w:p>
    <w:p w:rsidR="00566D96" w:rsidRPr="00533A49" w:rsidRDefault="00566D96" w:rsidP="00566D96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D055CD" w:rsidRPr="00533A49" w:rsidRDefault="00D055CD" w:rsidP="00D055C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33A49">
        <w:rPr>
          <w:rFonts w:ascii="Times New Roman" w:hAnsi="Times New Roman" w:cs="Times New Roman"/>
          <w:sz w:val="24"/>
          <w:szCs w:val="24"/>
        </w:rPr>
        <w:t>Мероприятия по содействию развитию конкуренции</w:t>
      </w:r>
    </w:p>
    <w:p w:rsidR="00D055CD" w:rsidRPr="00533A49" w:rsidRDefault="00D055CD" w:rsidP="00D055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33A49">
        <w:rPr>
          <w:rFonts w:ascii="Times New Roman" w:hAnsi="Times New Roman" w:cs="Times New Roman"/>
          <w:sz w:val="24"/>
          <w:szCs w:val="24"/>
        </w:rPr>
        <w:t>на товарных рынках Белгородской области</w:t>
      </w:r>
    </w:p>
    <w:p w:rsidR="00566D96" w:rsidRPr="00533A49" w:rsidRDefault="00566D96" w:rsidP="00566D96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110372" w:rsidRPr="00C42C60" w:rsidRDefault="00110372" w:rsidP="00566D96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4312" w:type="dxa"/>
        <w:tblLayout w:type="fixed"/>
        <w:tblLook w:val="04A0" w:firstRow="1" w:lastRow="0" w:firstColumn="1" w:lastColumn="0" w:noHBand="0" w:noVBand="1"/>
      </w:tblPr>
      <w:tblGrid>
        <w:gridCol w:w="572"/>
        <w:gridCol w:w="4536"/>
        <w:gridCol w:w="2268"/>
        <w:gridCol w:w="6936"/>
      </w:tblGrid>
      <w:tr w:rsidR="00D85494" w:rsidRPr="00C42C60" w:rsidTr="00110372">
        <w:trPr>
          <w:tblHeader/>
        </w:trPr>
        <w:tc>
          <w:tcPr>
            <w:tcW w:w="572" w:type="dxa"/>
            <w:vAlign w:val="center"/>
          </w:tcPr>
          <w:p w:rsidR="00D85494" w:rsidRPr="00C42C60" w:rsidRDefault="00D85494" w:rsidP="00110372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Align w:val="center"/>
          </w:tcPr>
          <w:p w:rsidR="00D85494" w:rsidRPr="00C42C60" w:rsidRDefault="00D85494" w:rsidP="00110372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D85494" w:rsidRPr="00C42C60" w:rsidRDefault="00D85494" w:rsidP="00110372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vAlign w:val="center"/>
          </w:tcPr>
          <w:p w:rsidR="00D85494" w:rsidRPr="00C42C60" w:rsidRDefault="00D85494" w:rsidP="00110372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D85494" w:rsidRPr="00C42C60" w:rsidRDefault="00D85494" w:rsidP="00110372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реализации </w:t>
            </w:r>
          </w:p>
          <w:p w:rsidR="00D85494" w:rsidRPr="00C42C60" w:rsidRDefault="00D85494" w:rsidP="00110372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6936" w:type="dxa"/>
            <w:vAlign w:val="center"/>
          </w:tcPr>
          <w:p w:rsidR="00D85494" w:rsidRPr="00C42C60" w:rsidRDefault="00D85494" w:rsidP="00110372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  <w:p w:rsidR="00D85494" w:rsidRPr="00C42C60" w:rsidRDefault="00D85494" w:rsidP="00110372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 мероприятия</w:t>
            </w:r>
          </w:p>
        </w:tc>
      </w:tr>
      <w:tr w:rsidR="00533A49" w:rsidRPr="00533A49" w:rsidTr="005C2F72">
        <w:trPr>
          <w:tblHeader/>
        </w:trPr>
        <w:tc>
          <w:tcPr>
            <w:tcW w:w="14312" w:type="dxa"/>
            <w:gridSpan w:val="4"/>
            <w:vAlign w:val="center"/>
          </w:tcPr>
          <w:p w:rsidR="00533A49" w:rsidRPr="00533A49" w:rsidRDefault="00533A49" w:rsidP="00533A49">
            <w:pPr>
              <w:widowControl w:val="0"/>
              <w:autoSpaceDE w:val="0"/>
              <w:autoSpaceDN w:val="0"/>
              <w:jc w:val="center"/>
              <w:outlineLvl w:val="3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33A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2.3.5. Рынок ритуальных услуг</w:t>
            </w:r>
          </w:p>
        </w:tc>
      </w:tr>
      <w:tr w:rsidR="00110372" w:rsidRPr="00533A49" w:rsidTr="00C24D24">
        <w:trPr>
          <w:tblHeader/>
        </w:trPr>
        <w:tc>
          <w:tcPr>
            <w:tcW w:w="14312" w:type="dxa"/>
            <w:gridSpan w:val="4"/>
            <w:vAlign w:val="center"/>
          </w:tcPr>
          <w:p w:rsidR="00110372" w:rsidRPr="00110372" w:rsidRDefault="00110372" w:rsidP="00110372">
            <w:pPr>
              <w:widowControl w:val="0"/>
              <w:autoSpaceDE w:val="0"/>
              <w:autoSpaceDN w:val="0"/>
              <w:jc w:val="center"/>
              <w:outlineLvl w:val="4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1037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2.3.5.3. Мероприятия по содействию развитию конкуренции</w:t>
            </w:r>
          </w:p>
          <w:p w:rsidR="00110372" w:rsidRPr="00533A49" w:rsidRDefault="00110372" w:rsidP="00110372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494" w:rsidRPr="00533A49" w:rsidTr="00110372">
        <w:tc>
          <w:tcPr>
            <w:tcW w:w="572" w:type="dxa"/>
          </w:tcPr>
          <w:p w:rsidR="00D85494" w:rsidRPr="00533A49" w:rsidRDefault="00FB4D9D" w:rsidP="00110372">
            <w:pPr>
              <w:pStyle w:val="1"/>
              <w:shd w:val="clear" w:color="auto" w:fill="auto"/>
              <w:spacing w:after="0" w:line="240" w:lineRule="auto"/>
              <w:ind w:left="-57" w:right="-5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33A49">
              <w:rPr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815B7E" w:rsidRPr="00533A49" w:rsidRDefault="00110372" w:rsidP="00533A49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9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нормативные правовые акты, административные регламенты предоставления услуг на рынке, подготовка новых проектов документов, направленных на устранение административных барьеров, излишних ограничений в развитии конкурентной среды на рынке</w:t>
            </w:r>
          </w:p>
        </w:tc>
        <w:tc>
          <w:tcPr>
            <w:tcW w:w="2268" w:type="dxa"/>
          </w:tcPr>
          <w:p w:rsidR="00D85494" w:rsidRPr="00533A49" w:rsidRDefault="00280C76" w:rsidP="0011037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30CE1" w:rsidRPr="00533A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33A4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936" w:type="dxa"/>
          </w:tcPr>
          <w:p w:rsidR="00D85494" w:rsidRPr="0093036F" w:rsidRDefault="0093036F" w:rsidP="0011037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отчетном периоде внесены изменения решением Совета депутатов Новооскольского городского округа от 28 февраля 2023 года</w:t>
            </w:r>
            <w:r w:rsidRPr="00930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901 </w:t>
            </w:r>
            <w:r w:rsidRPr="00930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 стоимости услуг, предоставляемых согласно гарантированному перечню услуг по погребению на территории Новооскольского городского округа».</w:t>
            </w:r>
          </w:p>
        </w:tc>
      </w:tr>
      <w:tr w:rsidR="00A30CE1" w:rsidRPr="00533A49" w:rsidTr="00110372">
        <w:tc>
          <w:tcPr>
            <w:tcW w:w="572" w:type="dxa"/>
          </w:tcPr>
          <w:p w:rsidR="00A30CE1" w:rsidRPr="00533A49" w:rsidRDefault="00A30CE1" w:rsidP="0011037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A30CE1" w:rsidRPr="00533A49" w:rsidRDefault="00110372" w:rsidP="00533A49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9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органами местного самоуправления по постановке на кадастровый учет и оформлению права собственности на земельные участки кладбищ</w:t>
            </w:r>
          </w:p>
        </w:tc>
        <w:tc>
          <w:tcPr>
            <w:tcW w:w="2268" w:type="dxa"/>
          </w:tcPr>
          <w:p w:rsidR="00A30CE1" w:rsidRPr="00533A49" w:rsidRDefault="00A30CE1" w:rsidP="0011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9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6936" w:type="dxa"/>
          </w:tcPr>
          <w:p w:rsidR="00A30CE1" w:rsidRPr="0093036F" w:rsidRDefault="0093036F" w:rsidP="0093036F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3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территории Новооскольского городского округа поставлено на кадастровый учет 111 земельных участков под кладбищами. 109 земельных участков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зарегистрированы </w:t>
            </w:r>
            <w:r w:rsidRPr="009303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муниципальную собственность Новооскольского городского округа и переданы на праве постоянного (бессрочного) пользования территориальным администрациям. </w:t>
            </w:r>
            <w:r w:rsidR="00AD414C" w:rsidRPr="009303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D414C" w:rsidRPr="009303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2 земельным участкам </w:t>
            </w:r>
            <w:r w:rsidR="00AD414C">
              <w:rPr>
                <w:rFonts w:ascii="Times New Roman" w:eastAsia="Calibri" w:hAnsi="Times New Roman" w:cs="Times New Roman"/>
                <w:sz w:val="24"/>
                <w:szCs w:val="24"/>
              </w:rPr>
              <w:t>ведутся работы по изменению категории земель</w:t>
            </w:r>
            <w:r w:rsidR="00AD414C" w:rsidRPr="009303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30CE1" w:rsidRPr="00533A49" w:rsidTr="00110372">
        <w:tc>
          <w:tcPr>
            <w:tcW w:w="572" w:type="dxa"/>
          </w:tcPr>
          <w:p w:rsidR="00A30CE1" w:rsidRPr="00533A49" w:rsidRDefault="00A30CE1" w:rsidP="0011037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A30CE1" w:rsidRPr="00533A49" w:rsidRDefault="00110372" w:rsidP="00533A49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9">
              <w:rPr>
                <w:rFonts w:ascii="Times New Roman" w:hAnsi="Times New Roman" w:cs="Times New Roman"/>
                <w:sz w:val="24"/>
                <w:szCs w:val="24"/>
              </w:rPr>
              <w:t>Формирование и ведение реестра организаций, учреждений, субъектов предпринимательской деятельности, осуществляющих деятельность на рынке ритуальных услуг на территории муниципальных образований</w:t>
            </w:r>
          </w:p>
        </w:tc>
        <w:tc>
          <w:tcPr>
            <w:tcW w:w="2268" w:type="dxa"/>
          </w:tcPr>
          <w:p w:rsidR="00A30CE1" w:rsidRPr="00533A49" w:rsidRDefault="00A30CE1" w:rsidP="0011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9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6936" w:type="dxa"/>
          </w:tcPr>
          <w:p w:rsidR="00A30CE1" w:rsidRPr="0093036F" w:rsidRDefault="0093036F" w:rsidP="0093036F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территории Новооскольского городского округа сформирован и ведется реестр организаций, субъектов предпринимательской деятельности,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30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осуществляющих деятельн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ость </w:t>
            </w:r>
            <w:r w:rsidRPr="00930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рынке ритуальных услуг.</w:t>
            </w:r>
          </w:p>
        </w:tc>
      </w:tr>
      <w:tr w:rsidR="00110372" w:rsidRPr="00533A49" w:rsidTr="00110372">
        <w:tc>
          <w:tcPr>
            <w:tcW w:w="572" w:type="dxa"/>
          </w:tcPr>
          <w:p w:rsidR="00110372" w:rsidRPr="00533A49" w:rsidRDefault="00110372" w:rsidP="0011037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110372" w:rsidRPr="00110372" w:rsidRDefault="00110372" w:rsidP="00110372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03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Организация инвентаризации кладбищ и мест захоронений на них; создание в области по результатам такой </w:t>
            </w:r>
            <w:r w:rsidRPr="001103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инвентаризации и ведение реестров кладбищ и мест захоронений с размещением указанных реестров на региональных порталах государственных и муниципальных услуг;</w:t>
            </w:r>
          </w:p>
          <w:p w:rsidR="00110372" w:rsidRPr="00533A49" w:rsidRDefault="00110372" w:rsidP="0011037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9">
              <w:rPr>
                <w:rFonts w:ascii="Times New Roman" w:hAnsi="Times New Roman" w:cs="Times New Roman"/>
                <w:sz w:val="24"/>
                <w:szCs w:val="24"/>
              </w:rPr>
              <w:t>- доведение до населения информации, в том числе с использованием средств массовой информации о создании названных реестров</w:t>
            </w:r>
          </w:p>
        </w:tc>
        <w:tc>
          <w:tcPr>
            <w:tcW w:w="2268" w:type="dxa"/>
          </w:tcPr>
          <w:p w:rsidR="00110372" w:rsidRPr="00533A49" w:rsidRDefault="00533A49" w:rsidP="0011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год</w:t>
            </w:r>
          </w:p>
        </w:tc>
        <w:tc>
          <w:tcPr>
            <w:tcW w:w="6936" w:type="dxa"/>
          </w:tcPr>
          <w:p w:rsidR="00110372" w:rsidRPr="00533A49" w:rsidRDefault="0093036F" w:rsidP="00AD414C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3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территории Новооскольского городского округа поставлено на кадастровый учет 111 земельных участков под кладбищами. 109 земельных участков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зарегистрированы </w:t>
            </w:r>
            <w:r w:rsidRPr="009303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муниципальную </w:t>
            </w:r>
            <w:r w:rsidRPr="009303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собственность Новооскольского городского округа и переданы на праве постоянного (бессрочного) пользования территориальным администрациям. По 2 земельным участкам </w:t>
            </w:r>
            <w:r w:rsidR="00AD414C">
              <w:rPr>
                <w:rFonts w:ascii="Times New Roman" w:eastAsia="Calibri" w:hAnsi="Times New Roman" w:cs="Times New Roman"/>
                <w:sz w:val="24"/>
                <w:szCs w:val="24"/>
              </w:rPr>
              <w:t>ведутся работы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изменению категории земель</w:t>
            </w:r>
            <w:r w:rsidRPr="009303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33A49" w:rsidRPr="00533A49" w:rsidTr="00456967">
        <w:tc>
          <w:tcPr>
            <w:tcW w:w="14312" w:type="dxa"/>
            <w:gridSpan w:val="4"/>
          </w:tcPr>
          <w:p w:rsidR="00533A49" w:rsidRPr="00533A49" w:rsidRDefault="00533A49" w:rsidP="00533A49">
            <w:pPr>
              <w:widowControl w:val="0"/>
              <w:autoSpaceDE w:val="0"/>
              <w:autoSpaceDN w:val="0"/>
              <w:jc w:val="center"/>
              <w:outlineLvl w:val="3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33A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2.5.1. Рынок оказания услуг по перевозке пассажиров</w:t>
            </w:r>
          </w:p>
          <w:p w:rsidR="00533A49" w:rsidRPr="00533A49" w:rsidRDefault="00533A49" w:rsidP="00533A49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33A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автомобильным транспортом по муниципальным маршрутам</w:t>
            </w:r>
          </w:p>
          <w:p w:rsidR="00533A49" w:rsidRPr="00533A49" w:rsidRDefault="00533A49" w:rsidP="00533A49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33A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регулярных перевозок</w:t>
            </w:r>
          </w:p>
        </w:tc>
      </w:tr>
      <w:tr w:rsidR="00110372" w:rsidRPr="00533A49" w:rsidTr="00EA2901">
        <w:tc>
          <w:tcPr>
            <w:tcW w:w="14312" w:type="dxa"/>
            <w:gridSpan w:val="4"/>
          </w:tcPr>
          <w:p w:rsidR="00110372" w:rsidRPr="00110372" w:rsidRDefault="00110372" w:rsidP="00110372">
            <w:pPr>
              <w:widowControl w:val="0"/>
              <w:autoSpaceDE w:val="0"/>
              <w:autoSpaceDN w:val="0"/>
              <w:jc w:val="center"/>
              <w:outlineLvl w:val="4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1037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2.5.1.3. Мероприятия по содействию развитию конкуренции</w:t>
            </w:r>
          </w:p>
          <w:p w:rsidR="00110372" w:rsidRPr="00533A49" w:rsidRDefault="00110372" w:rsidP="0011037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372" w:rsidRPr="00533A49" w:rsidTr="00110372">
        <w:tc>
          <w:tcPr>
            <w:tcW w:w="572" w:type="dxa"/>
          </w:tcPr>
          <w:p w:rsidR="00110372" w:rsidRPr="00533A49" w:rsidRDefault="00110372" w:rsidP="0011037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3A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110372" w:rsidRPr="00533A49" w:rsidRDefault="00110372" w:rsidP="0011037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9"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муниципальных контрактов на выполнение перевозчиками работ, связанных с осуществлением регулярных перевозок по регулируемым тарифам, в соответствии с требованиями, установленными муниципальным заказчиком,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268" w:type="dxa"/>
          </w:tcPr>
          <w:p w:rsidR="00110372" w:rsidRPr="00533A49" w:rsidRDefault="00533A49" w:rsidP="0011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9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6936" w:type="dxa"/>
          </w:tcPr>
          <w:p w:rsidR="00110372" w:rsidRPr="008078A8" w:rsidRDefault="008078A8" w:rsidP="0011037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8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отчетном периоде</w:t>
            </w:r>
            <w:r w:rsidRPr="008078A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управлением городского хозяйства </w:t>
            </w:r>
            <w:r w:rsidRPr="008078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администрации Новооскольского городского округа</w:t>
            </w:r>
            <w:r w:rsidRPr="008078A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 открытый аукцион на оказание услуг по осуществлению регулярных пассажирских перевозок по регулируемым тарифам по муниципальным (городским, пригородным) маршрутам на территории </w:t>
            </w:r>
            <w:r w:rsidRPr="008078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Новооскольского городского округа</w:t>
            </w:r>
            <w:r w:rsidRPr="008078A8">
              <w:rPr>
                <w:rFonts w:ascii="Times New Roman" w:hAnsi="Times New Roman" w:cs="Times New Roman"/>
                <w:sz w:val="24"/>
                <w:szCs w:val="24"/>
              </w:rPr>
              <w:t xml:space="preserve">. С победителем ИП Бондаренко Н.С. заключен муниципальный контракт на оказание услуг по осуществлению регулярных пассажирских перевозок по регулируемым тарифам по муниципальным (городским, пригородным) маршрутам на территории </w:t>
            </w:r>
            <w:r w:rsidRPr="008078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Новооскольского городского округа.</w:t>
            </w:r>
          </w:p>
        </w:tc>
      </w:tr>
      <w:tr w:rsidR="00110372" w:rsidRPr="00533A49" w:rsidTr="00110372">
        <w:tc>
          <w:tcPr>
            <w:tcW w:w="572" w:type="dxa"/>
          </w:tcPr>
          <w:p w:rsidR="00110372" w:rsidRPr="00533A49" w:rsidRDefault="00110372" w:rsidP="0011037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3A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110372" w:rsidRPr="00533A49" w:rsidRDefault="00110372" w:rsidP="0011037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9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перевозчиков с администрациями муниципальных районов и городских округов области при рассмотрении предложений об изменении регулируемых тарифов на перевозку пассажиров автомобильным транспортом по муниципальным маршрутам регулярных перевозок в городском сообщении, установлении и изменении муниципальных маршрутов с учетом интересов потребителей</w:t>
            </w:r>
          </w:p>
        </w:tc>
        <w:tc>
          <w:tcPr>
            <w:tcW w:w="2268" w:type="dxa"/>
          </w:tcPr>
          <w:p w:rsidR="00110372" w:rsidRPr="00533A49" w:rsidRDefault="00533A49" w:rsidP="0011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9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6936" w:type="dxa"/>
          </w:tcPr>
          <w:p w:rsidR="00110372" w:rsidRPr="008078A8" w:rsidRDefault="008078A8" w:rsidP="0011037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8A8">
              <w:rPr>
                <w:rFonts w:ascii="Times New Roman" w:hAnsi="Times New Roman" w:cs="Times New Roman"/>
                <w:sz w:val="24"/>
                <w:szCs w:val="24"/>
              </w:rPr>
              <w:t>В отчетном периоде руководствуясь постановлением Правительства Белгородской области от 06 июня 2016 г. № 206-пп «О внедрении единой автоматизированной системы безналичной оплаты транспортных услуг в Белгородской области» и в целях внедрения современных информационных технологий, способствующих улучшению транспортного обслуживания населения, повышения привлекательности безналичных расчетов за перевозку пассажиров и провоз  багажа по муниципальным маршрутам регулярных перевозок на территории Новооскольского городского округа, решением Совета Депутатов Новооскольского городского округа Белгородской 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от </w:t>
            </w:r>
            <w:r w:rsidRPr="008078A8">
              <w:rPr>
                <w:rFonts w:ascii="Times New Roman" w:hAnsi="Times New Roman" w:cs="Times New Roman"/>
                <w:sz w:val="24"/>
                <w:szCs w:val="24"/>
              </w:rPr>
              <w:t xml:space="preserve">27 декабря 2022 года «Об установлении регулируемых тарифов на перевозку по </w:t>
            </w:r>
            <w:r w:rsidRPr="00807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 маршрутам регулярных перевозок» с 13 января 2023 года установлены тарифы на перевозки по муниципальным маршрутам за наличный и безналичный расчет за проезд пассажиров и провоз багажа</w:t>
            </w:r>
          </w:p>
        </w:tc>
      </w:tr>
      <w:tr w:rsidR="00110372" w:rsidRPr="00533A49" w:rsidTr="00110372">
        <w:tc>
          <w:tcPr>
            <w:tcW w:w="572" w:type="dxa"/>
          </w:tcPr>
          <w:p w:rsidR="00110372" w:rsidRPr="00533A49" w:rsidRDefault="00110372" w:rsidP="0011037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33A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110372" w:rsidRPr="00110372" w:rsidRDefault="00110372" w:rsidP="00110372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03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Внесение в документ планирования регулярных перевозок по муниципальным маршрутам информации в порядке, установленном Федеральным </w:t>
            </w:r>
            <w:hyperlink r:id="rId8">
              <w:r w:rsidRPr="00110372">
                <w:rPr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законом</w:t>
              </w:r>
            </w:hyperlink>
            <w:r w:rsidR="00533A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 13 июля 2015 года № 220-ФЗ «</w:t>
            </w:r>
            <w:r w:rsidRPr="001103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      </w:r>
            <w:r w:rsidR="00533A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льные акты Российской Федерации»</w:t>
            </w:r>
            <w:r w:rsidRPr="001103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10372" w:rsidRPr="00110372" w:rsidRDefault="00110372" w:rsidP="00110372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03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об изменении вида регулярных перевозок;</w:t>
            </w:r>
          </w:p>
          <w:p w:rsidR="00110372" w:rsidRPr="00533A49" w:rsidRDefault="00110372" w:rsidP="0011037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9">
              <w:rPr>
                <w:rFonts w:ascii="Times New Roman" w:hAnsi="Times New Roman" w:cs="Times New Roman"/>
                <w:sz w:val="24"/>
                <w:szCs w:val="24"/>
              </w:rPr>
              <w:t>- о планируемой отмене муниципального маршрута регулярных перевозок</w:t>
            </w:r>
          </w:p>
        </w:tc>
        <w:tc>
          <w:tcPr>
            <w:tcW w:w="2268" w:type="dxa"/>
          </w:tcPr>
          <w:p w:rsidR="00110372" w:rsidRPr="00533A49" w:rsidRDefault="00533A49" w:rsidP="0011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9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6936" w:type="dxa"/>
          </w:tcPr>
          <w:p w:rsidR="00110372" w:rsidRPr="008078A8" w:rsidRDefault="008078A8" w:rsidP="0011037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8A8">
              <w:rPr>
                <w:rFonts w:ascii="Times New Roman" w:hAnsi="Times New Roman" w:cs="Times New Roman"/>
                <w:sz w:val="24"/>
                <w:szCs w:val="24"/>
              </w:rPr>
              <w:t>Управление городского хозяйства администрации Новооскольского городского округа формирует документ планирования регулярных перевозок по муниципальным маршрутам Новооскольского городского округа.</w:t>
            </w:r>
          </w:p>
        </w:tc>
      </w:tr>
      <w:tr w:rsidR="00110372" w:rsidRPr="00533A49" w:rsidTr="00110372">
        <w:tc>
          <w:tcPr>
            <w:tcW w:w="572" w:type="dxa"/>
          </w:tcPr>
          <w:p w:rsidR="00110372" w:rsidRPr="00533A49" w:rsidRDefault="00110372" w:rsidP="0011037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110372" w:rsidRPr="00533A49" w:rsidRDefault="00110372" w:rsidP="0011037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9">
              <w:rPr>
                <w:rFonts w:ascii="Times New Roman" w:hAnsi="Times New Roman" w:cs="Times New Roman"/>
                <w:sz w:val="24"/>
                <w:szCs w:val="24"/>
              </w:rPr>
              <w:t>Ведение на официальных сайтах администраций муниципальных районов и городских округов реестров муниципальных маршрутов регулярных перевозок</w:t>
            </w:r>
          </w:p>
        </w:tc>
        <w:tc>
          <w:tcPr>
            <w:tcW w:w="2268" w:type="dxa"/>
          </w:tcPr>
          <w:p w:rsidR="00110372" w:rsidRPr="00533A49" w:rsidRDefault="00533A49" w:rsidP="0011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9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6936" w:type="dxa"/>
          </w:tcPr>
          <w:p w:rsidR="00110372" w:rsidRPr="006258A6" w:rsidRDefault="006258A6" w:rsidP="006258A6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6">
              <w:rPr>
                <w:rFonts w:ascii="Times New Roman" w:hAnsi="Times New Roman" w:cs="Times New Roman"/>
                <w:sz w:val="24"/>
                <w:szCs w:val="24"/>
              </w:rPr>
              <w:t>В отчетном периоде на официальном сайте органа местного самоуправления (</w:t>
            </w:r>
            <w:hyperlink r:id="rId9" w:history="1">
              <w:r w:rsidRPr="006258A6">
                <w:rPr>
                  <w:rFonts w:ascii="Times New Roman" w:hAnsi="Times New Roman" w:cs="Times New Roman"/>
                  <w:sz w:val="24"/>
                  <w:szCs w:val="24"/>
                </w:rPr>
                <w:t>https://novyjoskolr31.gosweb.gosuslugi.ru</w:t>
              </w:r>
            </w:hyperlink>
            <w:r w:rsidRPr="006258A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8A6">
              <w:rPr>
                <w:rFonts w:ascii="Times New Roman" w:hAnsi="Times New Roman" w:cs="Times New Roman"/>
                <w:sz w:val="24"/>
                <w:szCs w:val="24"/>
              </w:rPr>
              <w:t>в разделе благоустройство (нормативные документы) размещено постановление администрации Новооскольского городского округа «Об утверждении реестра пригородных и городских автобусных маршрутов регулярных перевозок муниципальной маршрутной сети на территории Новооскольского городского округа на 2023 год»</w:t>
            </w:r>
          </w:p>
        </w:tc>
      </w:tr>
      <w:tr w:rsidR="00110372" w:rsidRPr="00533A49" w:rsidTr="00110372">
        <w:tc>
          <w:tcPr>
            <w:tcW w:w="572" w:type="dxa"/>
          </w:tcPr>
          <w:p w:rsidR="00110372" w:rsidRPr="00533A49" w:rsidRDefault="00110372" w:rsidP="0011037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110372" w:rsidRPr="00533A49" w:rsidRDefault="00110372" w:rsidP="0011037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9">
              <w:rPr>
                <w:rFonts w:ascii="Times New Roman" w:hAnsi="Times New Roman" w:cs="Times New Roman"/>
                <w:sz w:val="24"/>
                <w:szCs w:val="24"/>
              </w:rPr>
              <w:t>Мониторинг пассажиропотока на муниципальных маршрутах регулярных перевозок</w:t>
            </w:r>
          </w:p>
        </w:tc>
        <w:tc>
          <w:tcPr>
            <w:tcW w:w="2268" w:type="dxa"/>
          </w:tcPr>
          <w:p w:rsidR="00110372" w:rsidRPr="00533A49" w:rsidRDefault="00533A49" w:rsidP="0011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9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6936" w:type="dxa"/>
          </w:tcPr>
          <w:p w:rsidR="00110372" w:rsidRPr="006258A6" w:rsidRDefault="006258A6" w:rsidP="0011037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6">
              <w:rPr>
                <w:rFonts w:ascii="Times New Roman" w:hAnsi="Times New Roman" w:cs="Times New Roman"/>
                <w:sz w:val="24"/>
                <w:szCs w:val="24"/>
              </w:rPr>
              <w:t>В отчетном периоде проходил ежемесячный мониторинг пассажиропотока на муниципальных маршрутах регулярных перевозок на территории Новооскольского городского округа. Всего было перевезено 36503 человека.</w:t>
            </w:r>
          </w:p>
        </w:tc>
      </w:tr>
      <w:tr w:rsidR="006258A6" w:rsidRPr="00533A49" w:rsidTr="00110372">
        <w:tc>
          <w:tcPr>
            <w:tcW w:w="572" w:type="dxa"/>
          </w:tcPr>
          <w:p w:rsidR="006258A6" w:rsidRPr="00533A49" w:rsidRDefault="006258A6" w:rsidP="006258A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6258A6" w:rsidRPr="00533A49" w:rsidRDefault="006258A6" w:rsidP="006258A6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совместных мероприятий с территориальными подразделениями ГИБДД, органами государственного транспортного контроля по выявлению на территории муниципального образования </w:t>
            </w:r>
            <w:r w:rsidRPr="00533A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перевозчиков, нарушающих требования законодательства</w:t>
            </w:r>
          </w:p>
        </w:tc>
        <w:tc>
          <w:tcPr>
            <w:tcW w:w="2268" w:type="dxa"/>
          </w:tcPr>
          <w:p w:rsidR="006258A6" w:rsidRPr="00533A49" w:rsidRDefault="006258A6" w:rsidP="006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год</w:t>
            </w:r>
          </w:p>
        </w:tc>
        <w:tc>
          <w:tcPr>
            <w:tcW w:w="6936" w:type="dxa"/>
          </w:tcPr>
          <w:p w:rsidR="006258A6" w:rsidRPr="006258A6" w:rsidRDefault="006258A6" w:rsidP="006258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58A6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Сотрудниками группы экономической безопасности ОМВД России по </w:t>
            </w:r>
            <w:proofErr w:type="spellStart"/>
            <w:r w:rsidRPr="006258A6">
              <w:rPr>
                <w:rFonts w:ascii="Times New Roman" w:hAnsi="Times New Roman" w:cs="Times New Roman"/>
                <w:sz w:val="24"/>
                <w:szCs w:val="24"/>
              </w:rPr>
              <w:t>Новооск</w:t>
            </w:r>
            <w:bookmarkStart w:id="0" w:name="_GoBack"/>
            <w:bookmarkEnd w:id="0"/>
            <w:r w:rsidRPr="006258A6">
              <w:rPr>
                <w:rFonts w:ascii="Times New Roman" w:hAnsi="Times New Roman" w:cs="Times New Roman"/>
                <w:sz w:val="24"/>
                <w:szCs w:val="24"/>
              </w:rPr>
              <w:t>ольскому</w:t>
            </w:r>
            <w:proofErr w:type="spellEnd"/>
            <w:r w:rsidRPr="006258A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городскому округу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258A6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полугодии 2023 года в результате проведенных оперативных мероприятий в сфере пассажирских перевозок правонарушения не выявлены.</w:t>
            </w:r>
          </w:p>
        </w:tc>
      </w:tr>
      <w:tr w:rsidR="006258A6" w:rsidRPr="00533A49" w:rsidTr="00B926C5">
        <w:tc>
          <w:tcPr>
            <w:tcW w:w="14312" w:type="dxa"/>
            <w:gridSpan w:val="4"/>
          </w:tcPr>
          <w:p w:rsidR="006258A6" w:rsidRDefault="006258A6" w:rsidP="006258A6">
            <w:pPr>
              <w:widowControl w:val="0"/>
              <w:autoSpaceDE w:val="0"/>
              <w:autoSpaceDN w:val="0"/>
              <w:jc w:val="center"/>
              <w:outlineLvl w:val="3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  <w:p w:rsidR="006258A6" w:rsidRPr="00533A49" w:rsidRDefault="006258A6" w:rsidP="006258A6">
            <w:pPr>
              <w:widowControl w:val="0"/>
              <w:autoSpaceDE w:val="0"/>
              <w:autoSpaceDN w:val="0"/>
              <w:jc w:val="center"/>
              <w:outlineLvl w:val="3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33A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2.5.2. Рынок оказания услуг по перевозке пассажиров</w:t>
            </w:r>
          </w:p>
          <w:p w:rsidR="006258A6" w:rsidRPr="00533A49" w:rsidRDefault="006258A6" w:rsidP="006258A6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33A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автомобильным транспортом по межмуниципальным маршрутам</w:t>
            </w:r>
          </w:p>
          <w:p w:rsidR="006258A6" w:rsidRPr="00533A49" w:rsidRDefault="006258A6" w:rsidP="006258A6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33A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регулярных перевозок</w:t>
            </w:r>
          </w:p>
        </w:tc>
      </w:tr>
      <w:tr w:rsidR="006258A6" w:rsidRPr="00533A49" w:rsidTr="009038EB">
        <w:tc>
          <w:tcPr>
            <w:tcW w:w="14312" w:type="dxa"/>
            <w:gridSpan w:val="4"/>
          </w:tcPr>
          <w:p w:rsidR="006258A6" w:rsidRPr="009673F3" w:rsidRDefault="006258A6" w:rsidP="006258A6">
            <w:pPr>
              <w:widowControl w:val="0"/>
              <w:autoSpaceDE w:val="0"/>
              <w:autoSpaceDN w:val="0"/>
              <w:jc w:val="center"/>
              <w:outlineLvl w:val="4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73F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2.5.2.3. Мероприятия по содействию развитию конкуренции</w:t>
            </w:r>
          </w:p>
          <w:p w:rsidR="006258A6" w:rsidRPr="00533A49" w:rsidRDefault="006258A6" w:rsidP="006258A6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A6" w:rsidRPr="00533A49" w:rsidTr="00110372">
        <w:tc>
          <w:tcPr>
            <w:tcW w:w="572" w:type="dxa"/>
          </w:tcPr>
          <w:p w:rsidR="006258A6" w:rsidRPr="00533A49" w:rsidRDefault="006258A6" w:rsidP="006258A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6258A6" w:rsidRPr="00533A49" w:rsidRDefault="006258A6" w:rsidP="006258A6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9"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муниципальных контрактов на выполнение перевозчиками работ, связанных с осуществлением регулярных перевозок по регулируемым тарифам, в соответствии с требованиями, установленными муниципальным заказчиком,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268" w:type="dxa"/>
          </w:tcPr>
          <w:p w:rsidR="006258A6" w:rsidRPr="00533A49" w:rsidRDefault="006258A6" w:rsidP="006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9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6936" w:type="dxa"/>
          </w:tcPr>
          <w:p w:rsidR="006258A6" w:rsidRPr="006258A6" w:rsidRDefault="006258A6" w:rsidP="006258A6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Новооскольского городского округа перевозка пассажиров автомобильным транспортом по межмуниципальным маршрутам регулярных перевозок не осуществляется.</w:t>
            </w:r>
          </w:p>
        </w:tc>
      </w:tr>
      <w:tr w:rsidR="006258A6" w:rsidRPr="00533A49" w:rsidTr="00110372">
        <w:tc>
          <w:tcPr>
            <w:tcW w:w="572" w:type="dxa"/>
          </w:tcPr>
          <w:p w:rsidR="006258A6" w:rsidRPr="00533A49" w:rsidRDefault="006258A6" w:rsidP="006258A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6258A6" w:rsidRPr="00533A49" w:rsidRDefault="006258A6" w:rsidP="006258A6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9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перевозчиков с администрациями муниципальных районов и городских округов области при рассмотрении предложений об изменении регулируемых тарифов на перевозку пассажиров автомобильным транспортом по межмуниципальным маршрутам регулярных перевозок в пригородном сообщении, установлении и изменении муниципальных маршрутов с учетом интересов потребителей</w:t>
            </w:r>
          </w:p>
        </w:tc>
        <w:tc>
          <w:tcPr>
            <w:tcW w:w="2268" w:type="dxa"/>
          </w:tcPr>
          <w:p w:rsidR="006258A6" w:rsidRPr="00533A49" w:rsidRDefault="006258A6" w:rsidP="006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9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6936" w:type="dxa"/>
          </w:tcPr>
          <w:p w:rsidR="006258A6" w:rsidRPr="00533A49" w:rsidRDefault="000F4B26" w:rsidP="006258A6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Новооскольского городского округа перевозка пассажиров автомобильным транспортом по межмуниципальным маршрутам регулярных перевозок не осуществляется.</w:t>
            </w:r>
          </w:p>
        </w:tc>
      </w:tr>
      <w:tr w:rsidR="006258A6" w:rsidRPr="00533A49" w:rsidTr="00110372">
        <w:tc>
          <w:tcPr>
            <w:tcW w:w="572" w:type="dxa"/>
          </w:tcPr>
          <w:p w:rsidR="006258A6" w:rsidRPr="00533A49" w:rsidRDefault="006258A6" w:rsidP="006258A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6258A6" w:rsidRPr="00533A49" w:rsidRDefault="006258A6" w:rsidP="006258A6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9">
              <w:rPr>
                <w:rFonts w:ascii="Times New Roman" w:hAnsi="Times New Roman" w:cs="Times New Roman"/>
                <w:sz w:val="24"/>
                <w:szCs w:val="24"/>
              </w:rPr>
              <w:t>Мониторинг пассажиропотока на межмуниципальных маршрутах регулярных перевозок и потребностей региона в корректировке существующей маршрутной сети</w:t>
            </w:r>
          </w:p>
        </w:tc>
        <w:tc>
          <w:tcPr>
            <w:tcW w:w="2268" w:type="dxa"/>
          </w:tcPr>
          <w:p w:rsidR="006258A6" w:rsidRPr="00533A49" w:rsidRDefault="006258A6" w:rsidP="006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9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6936" w:type="dxa"/>
          </w:tcPr>
          <w:p w:rsidR="006258A6" w:rsidRPr="00533A49" w:rsidRDefault="000F4B26" w:rsidP="006258A6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Новооскольского городского округа перевозка пассажиров автомобильным транспортом по межмуниципальным маршрутам регулярных перевозок не осуществляется.</w:t>
            </w:r>
          </w:p>
        </w:tc>
      </w:tr>
      <w:tr w:rsidR="006258A6" w:rsidRPr="00533A49" w:rsidTr="00231D87">
        <w:tc>
          <w:tcPr>
            <w:tcW w:w="14312" w:type="dxa"/>
            <w:gridSpan w:val="4"/>
          </w:tcPr>
          <w:p w:rsidR="000F4B26" w:rsidRDefault="000F4B26" w:rsidP="006258A6">
            <w:pPr>
              <w:widowControl w:val="0"/>
              <w:autoSpaceDE w:val="0"/>
              <w:autoSpaceDN w:val="0"/>
              <w:jc w:val="center"/>
              <w:outlineLvl w:val="3"/>
              <w:rPr>
                <w:rFonts w:ascii="Times New Roman" w:eastAsiaTheme="minorEastAsia" w:hAnsi="Times New Roman" w:cs="Times New Roman"/>
                <w:b/>
                <w:sz w:val="24"/>
                <w:lang w:eastAsia="ru-RU"/>
              </w:rPr>
            </w:pPr>
          </w:p>
          <w:p w:rsidR="006258A6" w:rsidRPr="00964BA2" w:rsidRDefault="006258A6" w:rsidP="006258A6">
            <w:pPr>
              <w:widowControl w:val="0"/>
              <w:autoSpaceDE w:val="0"/>
              <w:autoSpaceDN w:val="0"/>
              <w:jc w:val="center"/>
              <w:outlineLvl w:val="3"/>
              <w:rPr>
                <w:rFonts w:ascii="Times New Roman" w:eastAsiaTheme="minorEastAsia" w:hAnsi="Times New Roman" w:cs="Times New Roman"/>
                <w:b/>
                <w:sz w:val="24"/>
                <w:lang w:eastAsia="ru-RU"/>
              </w:rPr>
            </w:pPr>
            <w:r w:rsidRPr="00964BA2">
              <w:rPr>
                <w:rFonts w:ascii="Times New Roman" w:eastAsiaTheme="minorEastAsia" w:hAnsi="Times New Roman" w:cs="Times New Roman"/>
                <w:b/>
                <w:sz w:val="24"/>
                <w:lang w:eastAsia="ru-RU"/>
              </w:rPr>
              <w:lastRenderedPageBreak/>
              <w:t>2.6.1. Рынок услуг связи, в том числе услуг</w:t>
            </w:r>
          </w:p>
          <w:p w:rsidR="006258A6" w:rsidRPr="00964BA2" w:rsidRDefault="006258A6" w:rsidP="006258A6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lang w:eastAsia="ru-RU"/>
              </w:rPr>
            </w:pPr>
            <w:r w:rsidRPr="00964BA2">
              <w:rPr>
                <w:rFonts w:ascii="Times New Roman" w:eastAsiaTheme="minorEastAsia" w:hAnsi="Times New Roman" w:cs="Times New Roman"/>
                <w:b/>
                <w:sz w:val="24"/>
                <w:lang w:eastAsia="ru-RU"/>
              </w:rPr>
              <w:t>по предоставлению широкополосного доступа к сети Интернет</w:t>
            </w:r>
          </w:p>
        </w:tc>
      </w:tr>
      <w:tr w:rsidR="006258A6" w:rsidRPr="00533A49" w:rsidTr="007B4BED">
        <w:tc>
          <w:tcPr>
            <w:tcW w:w="14312" w:type="dxa"/>
            <w:gridSpan w:val="4"/>
          </w:tcPr>
          <w:p w:rsidR="006258A6" w:rsidRPr="009673F3" w:rsidRDefault="006258A6" w:rsidP="006258A6">
            <w:pPr>
              <w:widowControl w:val="0"/>
              <w:autoSpaceDE w:val="0"/>
              <w:autoSpaceDN w:val="0"/>
              <w:jc w:val="center"/>
              <w:outlineLvl w:val="4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73F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2.6.1.3. Мероприятия по содействию развитию конкуренции</w:t>
            </w:r>
          </w:p>
          <w:p w:rsidR="006258A6" w:rsidRPr="00533A49" w:rsidRDefault="006258A6" w:rsidP="006258A6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A6" w:rsidRPr="00533A49" w:rsidTr="00110372">
        <w:tc>
          <w:tcPr>
            <w:tcW w:w="572" w:type="dxa"/>
          </w:tcPr>
          <w:p w:rsidR="006258A6" w:rsidRPr="00533A49" w:rsidRDefault="006258A6" w:rsidP="006258A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:rsidR="006258A6" w:rsidRPr="00533A49" w:rsidRDefault="006258A6" w:rsidP="006258A6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9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организациям связи, оказывающим универсальные услуги связи, в получении и (или) строительстве сооружений связи и помещений, предназначенных для оказания универсальных услуг связи</w:t>
            </w:r>
          </w:p>
        </w:tc>
        <w:tc>
          <w:tcPr>
            <w:tcW w:w="2268" w:type="dxa"/>
          </w:tcPr>
          <w:p w:rsidR="006258A6" w:rsidRPr="00533A49" w:rsidRDefault="006258A6" w:rsidP="006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9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6936" w:type="dxa"/>
          </w:tcPr>
          <w:p w:rsidR="006258A6" w:rsidRPr="00533A49" w:rsidRDefault="006319B6" w:rsidP="006258A6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83B">
              <w:rPr>
                <w:rStyle w:val="105pt"/>
                <w:rFonts w:eastAsia="Candara"/>
                <w:b w:val="0"/>
                <w:sz w:val="24"/>
                <w:szCs w:val="24"/>
              </w:rPr>
              <w:t xml:space="preserve">В отчетном периоде от операторов </w:t>
            </w:r>
            <w:r w:rsidR="00AD414C">
              <w:rPr>
                <w:rStyle w:val="105pt"/>
                <w:rFonts w:eastAsia="Candara"/>
                <w:b w:val="0"/>
                <w:sz w:val="24"/>
                <w:szCs w:val="24"/>
              </w:rPr>
              <w:t>связи ПАО «МТС», ПАО «Ростелеком</w:t>
            </w:r>
            <w:r w:rsidRPr="00AC283B">
              <w:rPr>
                <w:rStyle w:val="105pt"/>
                <w:rFonts w:eastAsia="Candara"/>
                <w:b w:val="0"/>
                <w:sz w:val="24"/>
                <w:szCs w:val="24"/>
              </w:rPr>
              <w:t xml:space="preserve">» поступали заявки о предоставлении </w:t>
            </w:r>
            <w:r w:rsidRPr="00AC283B">
              <w:rPr>
                <w:rStyle w:val="105pt"/>
                <w:rFonts w:eastAsiaTheme="minorHAnsi"/>
                <w:b w:val="0"/>
                <w:sz w:val="24"/>
                <w:szCs w:val="24"/>
              </w:rPr>
              <w:t xml:space="preserve">возможности размещения оборудования связи для предоставления услуг населению на территории </w:t>
            </w:r>
            <w:r w:rsidRPr="006319B6">
              <w:rPr>
                <w:rFonts w:ascii="Times New Roman" w:hAnsi="Times New Roman" w:cs="Times New Roman"/>
                <w:sz w:val="24"/>
                <w:szCs w:val="24"/>
              </w:rPr>
              <w:t>Новооскольского городского округа. Работы по установке сотовых вышек ведутся операторами сотовой связи.</w:t>
            </w:r>
          </w:p>
        </w:tc>
      </w:tr>
      <w:tr w:rsidR="006258A6" w:rsidRPr="00533A49" w:rsidTr="00BE52DE">
        <w:tc>
          <w:tcPr>
            <w:tcW w:w="14312" w:type="dxa"/>
            <w:gridSpan w:val="4"/>
          </w:tcPr>
          <w:p w:rsidR="006258A6" w:rsidRPr="009673F3" w:rsidRDefault="006258A6" w:rsidP="006258A6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73F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III. Системные мероприятия, направленные на развитие</w:t>
            </w:r>
          </w:p>
          <w:p w:rsidR="006258A6" w:rsidRPr="009673F3" w:rsidRDefault="006258A6" w:rsidP="006258A6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73F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конкурентной среды в Белгородской области</w:t>
            </w:r>
          </w:p>
          <w:p w:rsidR="006258A6" w:rsidRPr="00533A49" w:rsidRDefault="006258A6" w:rsidP="006258A6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A6" w:rsidRPr="00533A49" w:rsidTr="00110372">
        <w:tc>
          <w:tcPr>
            <w:tcW w:w="572" w:type="dxa"/>
          </w:tcPr>
          <w:p w:rsidR="006258A6" w:rsidRPr="00533A49" w:rsidRDefault="006258A6" w:rsidP="006258A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9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536" w:type="dxa"/>
          </w:tcPr>
          <w:p w:rsidR="006258A6" w:rsidRPr="00533A49" w:rsidRDefault="006258A6" w:rsidP="006258A6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9">
              <w:rPr>
                <w:rFonts w:ascii="Times New Roman" w:hAnsi="Times New Roman" w:cs="Times New Roman"/>
                <w:sz w:val="24"/>
                <w:szCs w:val="24"/>
              </w:rPr>
              <w:t>Информирование потенциальных и действующих предпринимателей о возможности получения мер государственной и муниципальной поддержки посредством средств массовой информации, социальных сетей, наружной рекламы</w:t>
            </w:r>
          </w:p>
        </w:tc>
        <w:tc>
          <w:tcPr>
            <w:tcW w:w="2268" w:type="dxa"/>
          </w:tcPr>
          <w:p w:rsidR="006258A6" w:rsidRPr="00533A49" w:rsidRDefault="006258A6" w:rsidP="006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9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6936" w:type="dxa"/>
          </w:tcPr>
          <w:p w:rsidR="006258A6" w:rsidRPr="006D6507" w:rsidRDefault="006D6507" w:rsidP="006D6507">
            <w:pPr>
              <w:ind w:right="-3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целях повышения информированности потенциальных и действующих предпринимателей Новооскольского городского округа о существующих мерах государственной и муниципальной </w:t>
            </w:r>
            <w:proofErr w:type="gramStart"/>
            <w:r w:rsidRPr="006D6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поддержки,  специалистами</w:t>
            </w:r>
            <w:proofErr w:type="gramEnd"/>
            <w:r w:rsidRPr="006D6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Новооскольского городского округа постоянно размещается информация в новостной ленте официального сайта органа местного сам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оуправления и социальных сетях.</w:t>
            </w:r>
          </w:p>
        </w:tc>
      </w:tr>
      <w:tr w:rsidR="006258A6" w:rsidRPr="00533A49" w:rsidTr="00110372">
        <w:tc>
          <w:tcPr>
            <w:tcW w:w="572" w:type="dxa"/>
          </w:tcPr>
          <w:p w:rsidR="006258A6" w:rsidRPr="00533A49" w:rsidRDefault="006258A6" w:rsidP="006258A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9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536" w:type="dxa"/>
          </w:tcPr>
          <w:p w:rsidR="006258A6" w:rsidRPr="00533A49" w:rsidRDefault="006258A6" w:rsidP="006258A6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3A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Определение состава имущества, находящегося в муниципальной собственности муниципальных образований Белгородской области,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самоуправления, в указанных целях:</w:t>
            </w:r>
          </w:p>
          <w:p w:rsidR="006258A6" w:rsidRPr="00533A49" w:rsidRDefault="006258A6" w:rsidP="006258A6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3A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составление планов-графиков полной инвентаризации муниципального имущества, в том числе закрепленного за муниципальными предприятиями, учреждениями;</w:t>
            </w:r>
          </w:p>
          <w:p w:rsidR="006258A6" w:rsidRPr="00533A49" w:rsidRDefault="006258A6" w:rsidP="006258A6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3A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проведение инвентаризации муниципального имущества, определение имущества, не соответствующего </w:t>
            </w:r>
            <w:r w:rsidRPr="00533A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требованиям отнесения к категории имущества, предназначенного для реализации функций и полномочий органов местного самоуправления;</w:t>
            </w:r>
          </w:p>
          <w:p w:rsidR="006258A6" w:rsidRPr="00533A49" w:rsidRDefault="006258A6" w:rsidP="006258A6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9">
              <w:rPr>
                <w:rFonts w:ascii="Times New Roman" w:hAnsi="Times New Roman" w:cs="Times New Roman"/>
                <w:sz w:val="24"/>
                <w:szCs w:val="24"/>
              </w:rPr>
              <w:t>- включение указанного имущества в программу приватизации, утверждение плана по перепрофилированию имущества</w:t>
            </w:r>
          </w:p>
        </w:tc>
        <w:tc>
          <w:tcPr>
            <w:tcW w:w="2268" w:type="dxa"/>
          </w:tcPr>
          <w:p w:rsidR="006258A6" w:rsidRPr="00533A49" w:rsidRDefault="006258A6" w:rsidP="006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год</w:t>
            </w:r>
          </w:p>
        </w:tc>
        <w:tc>
          <w:tcPr>
            <w:tcW w:w="6936" w:type="dxa"/>
          </w:tcPr>
          <w:p w:rsidR="006258A6" w:rsidRPr="00533A49" w:rsidRDefault="00AD414C" w:rsidP="00AD414C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отчетном периоде определен перечень имущества, находящегося </w:t>
            </w:r>
            <w:r w:rsidRPr="00224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в муниципальной </w:t>
            </w:r>
            <w:proofErr w:type="gramStart"/>
            <w:r w:rsidRPr="00224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собственности  Ново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оскольского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городского округа, </w:t>
            </w:r>
            <w:r w:rsidRPr="00224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соответствующий требованиям  отнесения к категории имущества, предназначенный для реализации функций и полномочий  органов местного самоуправления.</w:t>
            </w:r>
          </w:p>
        </w:tc>
      </w:tr>
      <w:tr w:rsidR="006258A6" w:rsidRPr="00533A49" w:rsidTr="00110372">
        <w:tc>
          <w:tcPr>
            <w:tcW w:w="572" w:type="dxa"/>
          </w:tcPr>
          <w:p w:rsidR="006258A6" w:rsidRPr="00533A49" w:rsidRDefault="006258A6" w:rsidP="006258A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9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4536" w:type="dxa"/>
          </w:tcPr>
          <w:p w:rsidR="006258A6" w:rsidRPr="00533A49" w:rsidRDefault="006258A6" w:rsidP="006258A6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3A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Приватизация либо перепрофилирование (изменение целевого назначения) имущества, находящегося в муниципальной собственности муниципальных образований Белгородской области,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самоуправления:</w:t>
            </w:r>
          </w:p>
          <w:p w:rsidR="006258A6" w:rsidRPr="00533A49" w:rsidRDefault="006258A6" w:rsidP="006258A6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9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публичных торгов по реализации указанного имущества (изменение целевого назначения имущества</w:t>
            </w:r>
          </w:p>
        </w:tc>
        <w:tc>
          <w:tcPr>
            <w:tcW w:w="2268" w:type="dxa"/>
          </w:tcPr>
          <w:p w:rsidR="006258A6" w:rsidRPr="00533A49" w:rsidRDefault="006258A6" w:rsidP="006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49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6936" w:type="dxa"/>
          </w:tcPr>
          <w:p w:rsidR="00AD414C" w:rsidRPr="00224B34" w:rsidRDefault="00AD414C" w:rsidP="00AD414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отчетном периоде проведены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224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процедур по приватизации муниципального имущества Новооскольского городского округа. Проведены публичные торги по реализации муниципального имущества.</w:t>
            </w:r>
          </w:p>
          <w:p w:rsidR="006258A6" w:rsidRPr="00533A49" w:rsidRDefault="006258A6" w:rsidP="006258A6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3D3F" w:rsidRPr="00533A49" w:rsidRDefault="00110372" w:rsidP="00FB4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A49"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793D3F" w:rsidRPr="00533A49" w:rsidSect="008C2A0B">
      <w:headerReference w:type="default" r:id="rId10"/>
      <w:pgSz w:w="16838" w:h="11906" w:orient="landscape"/>
      <w:pgMar w:top="1134" w:right="678" w:bottom="284" w:left="1134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E30" w:rsidRDefault="00975E30" w:rsidP="00306B60">
      <w:pPr>
        <w:spacing w:after="0" w:line="240" w:lineRule="auto"/>
      </w:pPr>
      <w:r>
        <w:separator/>
      </w:r>
    </w:p>
  </w:endnote>
  <w:endnote w:type="continuationSeparator" w:id="0">
    <w:p w:rsidR="00975E30" w:rsidRDefault="00975E30" w:rsidP="00306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E30" w:rsidRDefault="00975E30" w:rsidP="00306B60">
      <w:pPr>
        <w:spacing w:after="0" w:line="240" w:lineRule="auto"/>
      </w:pPr>
      <w:r>
        <w:separator/>
      </w:r>
    </w:p>
  </w:footnote>
  <w:footnote w:type="continuationSeparator" w:id="0">
    <w:p w:rsidR="00975E30" w:rsidRDefault="00975E30" w:rsidP="00306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29500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06B60" w:rsidRPr="00306B60" w:rsidRDefault="00306B60">
        <w:pPr>
          <w:pStyle w:val="a7"/>
          <w:jc w:val="center"/>
          <w:rPr>
            <w:rFonts w:ascii="Times New Roman" w:hAnsi="Times New Roman" w:cs="Times New Roman"/>
          </w:rPr>
        </w:pPr>
        <w:r w:rsidRPr="00306B60">
          <w:rPr>
            <w:rFonts w:ascii="Times New Roman" w:hAnsi="Times New Roman" w:cs="Times New Roman"/>
          </w:rPr>
          <w:fldChar w:fldCharType="begin"/>
        </w:r>
        <w:r w:rsidRPr="00306B60">
          <w:rPr>
            <w:rFonts w:ascii="Times New Roman" w:hAnsi="Times New Roman" w:cs="Times New Roman"/>
          </w:rPr>
          <w:instrText>PAGE   \* MERGEFORMAT</w:instrText>
        </w:r>
        <w:r w:rsidRPr="00306B60">
          <w:rPr>
            <w:rFonts w:ascii="Times New Roman" w:hAnsi="Times New Roman" w:cs="Times New Roman"/>
          </w:rPr>
          <w:fldChar w:fldCharType="separate"/>
        </w:r>
        <w:r w:rsidR="00AD414C">
          <w:rPr>
            <w:rFonts w:ascii="Times New Roman" w:hAnsi="Times New Roman" w:cs="Times New Roman"/>
            <w:noProof/>
          </w:rPr>
          <w:t>6</w:t>
        </w:r>
        <w:r w:rsidRPr="00306B60">
          <w:rPr>
            <w:rFonts w:ascii="Times New Roman" w:hAnsi="Times New Roman" w:cs="Times New Roman"/>
          </w:rPr>
          <w:fldChar w:fldCharType="end"/>
        </w:r>
      </w:p>
    </w:sdtContent>
  </w:sdt>
  <w:p w:rsidR="00306B60" w:rsidRDefault="00306B6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B4631"/>
    <w:multiLevelType w:val="hybridMultilevel"/>
    <w:tmpl w:val="9AB8F0D2"/>
    <w:lvl w:ilvl="0" w:tplc="A65CADC2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8375EA4"/>
    <w:multiLevelType w:val="hybridMultilevel"/>
    <w:tmpl w:val="37D44C30"/>
    <w:lvl w:ilvl="0" w:tplc="44282A7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4D0"/>
    <w:rsid w:val="00044D06"/>
    <w:rsid w:val="000904D0"/>
    <w:rsid w:val="000B1FF7"/>
    <w:rsid w:val="000C7DA7"/>
    <w:rsid w:val="000F4B26"/>
    <w:rsid w:val="00110372"/>
    <w:rsid w:val="00135283"/>
    <w:rsid w:val="0015044D"/>
    <w:rsid w:val="001856FA"/>
    <w:rsid w:val="00280C76"/>
    <w:rsid w:val="002D4235"/>
    <w:rsid w:val="002D509C"/>
    <w:rsid w:val="00306B60"/>
    <w:rsid w:val="003E6C69"/>
    <w:rsid w:val="00417987"/>
    <w:rsid w:val="00447078"/>
    <w:rsid w:val="004A77F7"/>
    <w:rsid w:val="00500D93"/>
    <w:rsid w:val="00517F55"/>
    <w:rsid w:val="00533A49"/>
    <w:rsid w:val="00565173"/>
    <w:rsid w:val="00566D96"/>
    <w:rsid w:val="005A44F4"/>
    <w:rsid w:val="005E67F2"/>
    <w:rsid w:val="005F28A0"/>
    <w:rsid w:val="006258A6"/>
    <w:rsid w:val="006319B6"/>
    <w:rsid w:val="0066325D"/>
    <w:rsid w:val="00682294"/>
    <w:rsid w:val="006A2FD0"/>
    <w:rsid w:val="006A53A8"/>
    <w:rsid w:val="006D6507"/>
    <w:rsid w:val="006F51BB"/>
    <w:rsid w:val="00734D53"/>
    <w:rsid w:val="007724B1"/>
    <w:rsid w:val="00793D3F"/>
    <w:rsid w:val="008078A8"/>
    <w:rsid w:val="00815B7E"/>
    <w:rsid w:val="008271FC"/>
    <w:rsid w:val="0085321C"/>
    <w:rsid w:val="00866ADB"/>
    <w:rsid w:val="008675ED"/>
    <w:rsid w:val="008943A5"/>
    <w:rsid w:val="008A571A"/>
    <w:rsid w:val="008C2A0B"/>
    <w:rsid w:val="008D5574"/>
    <w:rsid w:val="00903C48"/>
    <w:rsid w:val="0093036F"/>
    <w:rsid w:val="00964BA2"/>
    <w:rsid w:val="009673F3"/>
    <w:rsid w:val="009675B8"/>
    <w:rsid w:val="00975E30"/>
    <w:rsid w:val="0099153C"/>
    <w:rsid w:val="009B5951"/>
    <w:rsid w:val="009C1345"/>
    <w:rsid w:val="00A30CE1"/>
    <w:rsid w:val="00AD414C"/>
    <w:rsid w:val="00AE0158"/>
    <w:rsid w:val="00AF66E2"/>
    <w:rsid w:val="00B201FB"/>
    <w:rsid w:val="00B930A9"/>
    <w:rsid w:val="00BA3BDE"/>
    <w:rsid w:val="00C1051D"/>
    <w:rsid w:val="00C42C60"/>
    <w:rsid w:val="00C739FA"/>
    <w:rsid w:val="00D055CD"/>
    <w:rsid w:val="00D14644"/>
    <w:rsid w:val="00D160C1"/>
    <w:rsid w:val="00D85494"/>
    <w:rsid w:val="00D96A25"/>
    <w:rsid w:val="00E226D2"/>
    <w:rsid w:val="00E30121"/>
    <w:rsid w:val="00FB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BCE9A-6838-421E-942D-A60C6581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4D0"/>
  </w:style>
  <w:style w:type="paragraph" w:styleId="2">
    <w:name w:val="heading 2"/>
    <w:basedOn w:val="a"/>
    <w:link w:val="20"/>
    <w:uiPriority w:val="9"/>
    <w:qFormat/>
    <w:rsid w:val="000904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04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090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qFormat/>
    <w:rsid w:val="000904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904D0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904D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Основной текст1"/>
    <w:basedOn w:val="a"/>
    <w:rsid w:val="000904D0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b/>
      <w:bCs/>
      <w:color w:val="000000"/>
      <w:spacing w:val="2"/>
      <w:lang w:eastAsia="ru-RU"/>
    </w:rPr>
  </w:style>
  <w:style w:type="character" w:customStyle="1" w:styleId="10pt0pt">
    <w:name w:val="Основной текст + 10 pt;Интервал 0 pt"/>
    <w:basedOn w:val="a0"/>
    <w:rsid w:val="000904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referenceable">
    <w:name w:val="referenceable"/>
    <w:basedOn w:val="a0"/>
    <w:rsid w:val="000904D0"/>
  </w:style>
  <w:style w:type="paragraph" w:styleId="a5">
    <w:name w:val="Balloon Text"/>
    <w:basedOn w:val="a"/>
    <w:link w:val="a6"/>
    <w:uiPriority w:val="99"/>
    <w:semiHidden/>
    <w:unhideWhenUsed/>
    <w:rsid w:val="00306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6B6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06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6B60"/>
  </w:style>
  <w:style w:type="paragraph" w:styleId="a9">
    <w:name w:val="footer"/>
    <w:basedOn w:val="a"/>
    <w:link w:val="aa"/>
    <w:uiPriority w:val="99"/>
    <w:unhideWhenUsed/>
    <w:rsid w:val="00306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6B60"/>
  </w:style>
  <w:style w:type="paragraph" w:customStyle="1" w:styleId="ConsPlusTitle">
    <w:name w:val="ConsPlusTitle"/>
    <w:rsid w:val="00D05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5pt">
    <w:name w:val="Основной текст + 10;5 pt;Не полужирный"/>
    <w:basedOn w:val="a0"/>
    <w:rsid w:val="006319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37B5A2502D8608C841D017C3ECB2B398B9F34815E1A3F3081682D1F6F584AF0221472DA28C30351940F98A42x4pF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ovyjoskolr31.gosweb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9BF06-A411-4D4C-A475-C0530C1AC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1803</Words>
  <Characters>10280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Сазонова Елена Викторовна</dc:creator>
  <cp:keywords/>
  <dc:description/>
  <cp:lastModifiedBy>Виктория Швыдкова</cp:lastModifiedBy>
  <cp:revision>12</cp:revision>
  <cp:lastPrinted>2023-07-21T12:43:00Z</cp:lastPrinted>
  <dcterms:created xsi:type="dcterms:W3CDTF">2023-07-18T10:28:00Z</dcterms:created>
  <dcterms:modified xsi:type="dcterms:W3CDTF">2023-07-21T12:45:00Z</dcterms:modified>
</cp:coreProperties>
</file>