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08" w:rsidRPr="00CB0973" w:rsidRDefault="00324908" w:rsidP="00CB0973">
      <w:pPr>
        <w:shd w:val="clear" w:color="auto" w:fill="FFFFFF"/>
        <w:spacing w:after="240" w:line="240" w:lineRule="auto"/>
        <w:ind w:firstLine="851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CB097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Инструкция по безопасному использованию газа при удовлетворении коммунально-бытовых нужд </w:t>
      </w:r>
    </w:p>
    <w:p w:rsidR="00324908" w:rsidRDefault="00324908" w:rsidP="00CB0973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Уважаемый потребитель газа!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Важно помнить: от качества обслуживания и ремонта принадлежащего Вам газового оборудования зависит здоровье и безопасность Вас и Ваших близких.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 последние время участились несчастные случаи, связанные с использованием газа в быту, причины которых кроются в ненадлежащем техническом состоянии внутридомового газового оборудования (ВДГО). Для решения этой проблемы Правительство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 утвердило «Правила поставки газа для обеспечения коммунально-бытовых нужд граждан»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утвержденное Постановлением Правительства РФ от 14 мая 2013 г. №410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бонент обязан «обеспечивать надлежащее техническое состояние внутридомового газового оборудования, своевременно заключать договор о техническом обслуживании внутридомового газового оборудования и аварийно-диспетчерском обеспечении».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для потребителей газа 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Все имеющиеся газовые сети и газоиспользующее оборудование в жилых домах входят в состав ВДГО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и в соответствии с действующим законодательством подразделяются на объекты: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— входящие в состав общего имущества собственников помещений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нутридомовые инженерные системы газоснабжения, состоящие из стояков, ответвлений от стояков до первого отключающего устройства, расположенного на ответвлениях от стояков, включая указанные отключающие устройства. Внешней границей сетей газоснабжения, входящих в состав общего имущества, является место соединения первого запорного устройства с внешней газораспределительной сетью)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— входящие в состав ВДГО абонента (газопроводы внутриквартирной разводки от первого отключающего устройства, расположенного на ответвлениях от стояков, и газоиспользующее оборудование для многоквартирных домов; от места врезки в газораспределительную сеть до газоиспользующего оборудования для жилого дома).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Соответственно, обязанность абонента бу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 считаться исполненной надле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жащим образом в случае заключения со специализированной организацией договоров на техническое обслуживание и аварийно-диспетчерское обеспечение в отношении объектов ВДГО, входящих в состав общего имущества собственников помещений в многоквартирном доме, а также ВДГО абонента.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Договор на обслуживание ВДГО, входящего в состав общего имущества, собственников помещений в многоквартирном доме, может быть заключен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организацией, осуществляющей управление МКД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, так и владельцем жилого помещения (квартиры) в многоквартирном доме (в случае, если жильцами выбран непосредственный способ управления).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Договор на обслуживание газовых сетей и приборов внутри квартиры может быть заключен как владельцем жилого помещения, так и управляющей организацией (в случае поручения ей таких полномочий всеми собственниками квартир на общем собрании).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Собственник жилого дома обязан заключить со специализированной организацией договор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техническо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обслуживани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 аварийно-диспетчерско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 отношении газоиспользующего оборудования (плиты, котлы, колонки), так и в отношении принадлежащих ему газовых сетей в соответствии с актом раздела границ.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Обращаем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нимание, что договор на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техническое обслуживание 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ВДГО заключается со специализированной организацией, которой является газораспределительная организация, допущенная в установленном порядке к осуществлению деятельности по техническому обслуживанию внутридомового газового оборудования и имеющая аварийно-диспетчерскую службу. В Белгородской области специализированной организацией является ОАО «Белгородоблгаз».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договора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 техническо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обслуживани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внутридомового газового оборудования и аварийно — диспетчерско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тревожны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сигнал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поставщика газа. В этом случае поставщик газа не может быть уверен в том, что поставка газа такому абоненту безопасна. Для того чтобы побудить граждан позаботиться о собственной безопасности, им в настоящее время доставляют уведомления о необходимости заключе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договора на техобслуживание ВДГО 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со специализированными организациями. В случае его отсутствия поставщик газа «вправе в одностороннем порядке приостановить исполнение обязательств по поставке газа с предварительным письменным уведомлением абонента».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Населению важно помнить и соблюдать Правила пользования газом в быту, утвержденные Приказом ВО «Росстройгазификации» при Совете Министров РСФСР от 26 апреля 1990 г. </w:t>
      </w: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Потребитель газа обязан:</w:t>
      </w:r>
    </w:p>
    <w:p w:rsidR="00324908" w:rsidRPr="00CB0973" w:rsidRDefault="00324908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Во время работы газовых приборов держать форточку открытой, не закрывать герметично двери и окна, следить за наличием тяги в дымоходах и вентиляционных каналах.</w:t>
      </w:r>
    </w:p>
    <w:p w:rsidR="00324908" w:rsidRPr="00CB0973" w:rsidRDefault="00324908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Следить за нормальной работой газовых приборов, дымоходов и вентиляции, проверять тягу до включения и во время работы газовых приборов с отводом продуктов сгорания газа в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дымоход. Перед пользованием газовой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печью проверять, открыт ли полностью шибер. Периодически очищать «карман» дымохода.</w:t>
      </w:r>
    </w:p>
    <w:p w:rsidR="00324908" w:rsidRPr="00CB0973" w:rsidRDefault="00324908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При неисправности газового оборудования вызвать работников предприятия газового хозяйства.</w:t>
      </w:r>
    </w:p>
    <w:p w:rsidR="00324908" w:rsidRPr="00CB0973" w:rsidRDefault="00324908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Почувствовав запах газа в помещении отключить газовые приборы, открыть окно для проветривания помещения, не пользоваться открытым огнем, не включать и не выключать электроприборы и электроосвещение и из незагазованного помещения вызвать аварийную бригаду по телефону 04.</w:t>
      </w:r>
    </w:p>
    <w:p w:rsidR="00324908" w:rsidRPr="00CB0973" w:rsidRDefault="00324908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Для осмотра и ремонта газопроводов и газового оборудования допускать в квартиру работников предприятий газового хозяйства по предъявлении ими служебных удостоверений, а для ликвидации аварийных ситуаций — в любое время суток.</w:t>
      </w:r>
    </w:p>
    <w:p w:rsidR="00324908" w:rsidRPr="00CB0973" w:rsidRDefault="00324908" w:rsidP="00CB0973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обнаружении вмешательства подозрительных и посторонних лиц в работу и целостность систем газоснабжения (газопроводов, отключающих устройств, газового оборудования) незамедлительно сообщите в аварийную службу по телефону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104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полицию по телефону 102, или в единую служ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бу спасения - 112</w:t>
      </w: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4908" w:rsidRDefault="00324908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4908" w:rsidRPr="00CB0973" w:rsidRDefault="00324908" w:rsidP="00CB0973">
      <w:pPr>
        <w:shd w:val="clear" w:color="auto" w:fill="FFFFFF"/>
        <w:spacing w:after="120" w:line="240" w:lineRule="auto"/>
        <w:ind w:firstLine="851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Населению запрещается:</w:t>
      </w:r>
    </w:p>
    <w:p w:rsidR="00324908" w:rsidRPr="00CB0973" w:rsidRDefault="00324908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Производить самовольную газификацию дома (квартиры, садового домика), перестановку, замену и ремонт газовых приборов, баллонов и запорной арматуры, монтаж и демонтаж приборов учета газа.</w:t>
      </w:r>
    </w:p>
    <w:p w:rsidR="00324908" w:rsidRPr="00CB0973" w:rsidRDefault="00324908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перепланировку помещения, где установлены газовые приборы, без согласования с соответствующими организациями.</w:t>
      </w:r>
    </w:p>
    <w:p w:rsidR="00324908" w:rsidRPr="00CB0973" w:rsidRDefault="00324908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Вносить изменения в конструкцию газовых приборов. Изменять устройство дымовых и вентиляционных систем. Заклеивать вентиляционные каналы, замуровывать или заклеивать «карманы» и люки, предназначенные для чистки дымоходов.</w:t>
      </w:r>
    </w:p>
    <w:p w:rsidR="00324908" w:rsidRPr="00CB0973" w:rsidRDefault="00324908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дымоходы и вентиляционные каналы для принудительного отвода продуктов испарений при пищеприготовлении посредством электрических вытяжек.</w:t>
      </w:r>
    </w:p>
    <w:p w:rsidR="00324908" w:rsidRPr="00CB0973" w:rsidRDefault="00324908" w:rsidP="00CB0973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газовую плиту для обогрева помещения.</w:t>
      </w:r>
    </w:p>
    <w:p w:rsidR="00324908" w:rsidRDefault="00324908" w:rsidP="00AD6F55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 w:firstLine="851"/>
        <w:jc w:val="both"/>
        <w:rPr>
          <w:rStyle w:val="hl"/>
          <w:rFonts w:ascii="Times New Roman" w:hAnsi="Times New Roman"/>
          <w:color w:val="000000"/>
          <w:sz w:val="28"/>
          <w:szCs w:val="28"/>
          <w:lang w:eastAsia="ru-RU"/>
        </w:rPr>
      </w:pPr>
      <w:r w:rsidRPr="00CB0973">
        <w:rPr>
          <w:rFonts w:ascii="Times New Roman" w:hAnsi="Times New Roman"/>
          <w:color w:val="000000"/>
          <w:sz w:val="28"/>
          <w:szCs w:val="28"/>
          <w:lang w:eastAsia="ru-RU"/>
        </w:rPr>
        <w:t>Хранить баллоны сжиженного газа в квартирах, подвалах, гаражах, на балконах и лоджиях.</w:t>
      </w:r>
    </w:p>
    <w:p w:rsidR="00324908" w:rsidRPr="00AD6F55" w:rsidRDefault="00324908" w:rsidP="00AD6F55">
      <w:pPr>
        <w:shd w:val="clear" w:color="auto" w:fill="FFFFFF"/>
        <w:spacing w:before="75" w:after="75" w:line="240" w:lineRule="auto"/>
        <w:ind w:firstLine="851"/>
        <w:jc w:val="both"/>
        <w:rPr>
          <w:rStyle w:val="hl"/>
          <w:rFonts w:ascii="Times New Roman" w:hAnsi="Times New Roman"/>
          <w:color w:val="000000"/>
          <w:sz w:val="28"/>
          <w:szCs w:val="28"/>
          <w:lang w:eastAsia="ru-RU"/>
        </w:rPr>
      </w:pPr>
      <w:r w:rsidRPr="00AD6F55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Лица, нарушающие Правила пользования газом в быту, создают угрозу жизни и здоровью окружающим и несут административную и уголовную ответственность в соответствии с действующим законодательством.</w:t>
      </w:r>
    </w:p>
    <w:p w:rsidR="00324908" w:rsidRPr="00C2062E" w:rsidRDefault="00324908" w:rsidP="00C206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2062E">
        <w:rPr>
          <w:rFonts w:ascii="Times New Roman" w:hAnsi="Times New Roman"/>
          <w:sz w:val="28"/>
          <w:szCs w:val="28"/>
        </w:rPr>
        <w:t>Так, в соответствии с КоАП РФ, Статьей 9.23 «Нарушение правил обеспечения безопасного использования и содержания внутридомового и внутриквартирного газового оборудования»:</w:t>
      </w:r>
    </w:p>
    <w:p w:rsidR="00324908" w:rsidRPr="00AD6F55" w:rsidRDefault="00324908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перечень</w:t>
      </w:r>
      <w:r w:rsidRPr="00AD6F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, предусмотренный правилами обеспечения безопасного использования и содержания внутридомового и внутриквартирного газового оборудования, -</w:t>
      </w:r>
      <w:bookmarkStart w:id="1" w:name="dst7473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24908" w:rsidRPr="00AD6F55" w:rsidRDefault="00324908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2. 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договора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 xml:space="preserve"> является обязательным, -</w:t>
      </w:r>
      <w:bookmarkStart w:id="2" w:name="dst7475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24908" w:rsidRPr="00AD6F55" w:rsidRDefault="00324908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7476"/>
      <w:bookmarkEnd w:id="3"/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3. Отказ в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допуске</w:t>
      </w:r>
      <w:r w:rsidRPr="00AD6F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-</w:t>
      </w:r>
      <w:bookmarkStart w:id="4" w:name="dst7477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24908" w:rsidRPr="00AD6F55" w:rsidRDefault="00324908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7478"/>
      <w:bookmarkEnd w:id="5"/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правилами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 xml:space="preserve">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-</w:t>
      </w:r>
      <w:bookmarkStart w:id="6" w:name="dst7479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двадцати тысяч рублей; на юридических лиц - от сорока тысяч до ста тысяч рублей.</w:t>
      </w:r>
    </w:p>
    <w:p w:rsidR="00324908" w:rsidRPr="00AD6F55" w:rsidRDefault="00324908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7480"/>
      <w:bookmarkEnd w:id="7"/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5. Действия (бездействие), предусмотренные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частями</w:t>
      </w:r>
      <w:r w:rsidRPr="00AD6F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1</w:t>
      </w:r>
      <w:r w:rsidRPr="00AD6F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–</w:t>
      </w:r>
      <w:r w:rsidRPr="00AD6F5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4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настоящей статьи, приведшие к аварии или возникновению непосредственной угрозы причинения вреда жизни или здоровью людей, -</w:t>
      </w:r>
      <w:bookmarkStart w:id="8" w:name="dst7481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влекут наложение административного штрафа на граждан в размере от десяти тысяч до тридцати тысяч рублей; на должностных лиц - от пятидесяти тысяч до ста тысяч рублей; на юридических лиц - от ста тысяч до четырехсот тысяч рублей.</w:t>
      </w:r>
    </w:p>
    <w:p w:rsidR="00324908" w:rsidRPr="00AD6F55" w:rsidRDefault="00324908" w:rsidP="00AD6F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7482"/>
      <w:bookmarkEnd w:id="9"/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6. Повторное совершение административного правонарушения, предусмотренного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частями 1-4</w:t>
      </w:r>
      <w:r w:rsidRPr="00AD6F55">
        <w:rPr>
          <w:rStyle w:val="apple-converted-space"/>
          <w:rFonts w:ascii="Times New Roman" w:hAnsi="Times New Roman"/>
          <w:color w:val="000000"/>
          <w:sz w:val="28"/>
          <w:szCs w:val="28"/>
        </w:rPr>
        <w:t>  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настоящей статьи, -</w:t>
      </w:r>
      <w:bookmarkStart w:id="10" w:name="dst7483"/>
      <w:bookmarkEnd w:id="1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F55">
        <w:rPr>
          <w:rStyle w:val="blk"/>
          <w:rFonts w:ascii="Times New Roman" w:hAnsi="Times New Roman"/>
          <w:color w:val="000000"/>
          <w:sz w:val="28"/>
          <w:szCs w:val="28"/>
        </w:rPr>
        <w:t>влечет наложение административного штрафа на граждан в размере от двух тысяч до пяти тысяч рублей; на должностных лиц - от десяти тысяч до сорока тысяч рублей или дисквалификацию на срок от одного года до трех лет; на юридических лиц - от восьмидесяти тысяч до двухсот тысяч рублей или административное приостановление деятельности на срок до девяноста суток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324908" w:rsidRPr="00CB0973" w:rsidRDefault="00324908" w:rsidP="00AD6F55">
      <w:pPr>
        <w:jc w:val="both"/>
        <w:rPr>
          <w:rFonts w:ascii="Times New Roman" w:hAnsi="Times New Roman"/>
          <w:sz w:val="28"/>
          <w:szCs w:val="28"/>
        </w:rPr>
      </w:pPr>
      <w:bookmarkStart w:id="11" w:name="dst7474"/>
      <w:bookmarkEnd w:id="11"/>
    </w:p>
    <w:sectPr w:rsidR="00324908" w:rsidRPr="00CB0973" w:rsidSect="0012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7315"/>
    <w:multiLevelType w:val="multilevel"/>
    <w:tmpl w:val="A0E6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448E3"/>
    <w:multiLevelType w:val="multilevel"/>
    <w:tmpl w:val="F500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663"/>
    <w:rsid w:val="00113A4E"/>
    <w:rsid w:val="00123D6D"/>
    <w:rsid w:val="00296C33"/>
    <w:rsid w:val="00324908"/>
    <w:rsid w:val="005E74F0"/>
    <w:rsid w:val="00AD6F55"/>
    <w:rsid w:val="00C2062E"/>
    <w:rsid w:val="00CB0973"/>
    <w:rsid w:val="00CB66FF"/>
    <w:rsid w:val="00CB70CB"/>
    <w:rsid w:val="00CF476E"/>
    <w:rsid w:val="00D42663"/>
    <w:rsid w:val="00D57384"/>
    <w:rsid w:val="00D9233C"/>
    <w:rsid w:val="00DF07D2"/>
    <w:rsid w:val="00E0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B0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B0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B0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B09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097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097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097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09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B0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B0973"/>
    <w:rPr>
      <w:rFonts w:cs="Times New Roman"/>
    </w:rPr>
  </w:style>
  <w:style w:type="character" w:customStyle="1" w:styleId="blk">
    <w:name w:val="blk"/>
    <w:basedOn w:val="DefaultParagraphFont"/>
    <w:uiPriority w:val="99"/>
    <w:rsid w:val="00E0268D"/>
    <w:rPr>
      <w:rFonts w:cs="Times New Roman"/>
    </w:rPr>
  </w:style>
  <w:style w:type="character" w:customStyle="1" w:styleId="hl">
    <w:name w:val="hl"/>
    <w:basedOn w:val="DefaultParagraphFont"/>
    <w:uiPriority w:val="99"/>
    <w:rsid w:val="00E0268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026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D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1508</Words>
  <Characters>8602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безопасному использованию газа при удовлетворении коммунально-бытовых нужд </dc:title>
  <dc:subject/>
  <dc:creator>Агафонова</dc:creator>
  <cp:keywords/>
  <dc:description/>
  <cp:lastModifiedBy>Komp</cp:lastModifiedBy>
  <cp:revision>2</cp:revision>
  <cp:lastPrinted>2017-02-08T14:49:00Z</cp:lastPrinted>
  <dcterms:created xsi:type="dcterms:W3CDTF">2017-02-08T14:51:00Z</dcterms:created>
  <dcterms:modified xsi:type="dcterms:W3CDTF">2017-02-08T14:51:00Z</dcterms:modified>
</cp:coreProperties>
</file>