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  <w:outlineLvl w:val="2"/>
      </w:pPr>
      <w:r/>
      <w:bookmarkStart w:id="0" w:name="bookmark12"/>
      <w:r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  <w:t xml:space="preserve">Уведомление</w:t>
      </w:r>
      <w:bookmarkEnd w:id="0"/>
      <w:r/>
      <w:r/>
    </w:p>
    <w:p>
      <w:pPr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  <w:t xml:space="preserve">о проведении публичных консультаций посредством сбора замечаний и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  <w:br/>
        <w:t xml:space="preserve">предложений организаций и граждан в рамках анализа действующих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  <w:br/>
        <w:t xml:space="preserve">нормативных правовых актов на предмет их влияния на конкуренцию</w:t>
      </w:r>
      <w:r/>
    </w:p>
    <w:p>
      <w:pPr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bidi="ru-RU" w:eastAsia="ru-RU"/>
        </w:rPr>
      </w:r>
      <w:r/>
    </w:p>
    <w:tbl>
      <w:tblPr>
        <w:tblStyle w:val="604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>
        <w:trPr>
          <w:trHeight w:val="2313"/>
        </w:trPr>
        <w:tc>
          <w:tcPr>
            <w:tcW w:w="9850" w:type="dxa"/>
            <w:textDirection w:val="lrTb"/>
            <w:noWrap w:val="false"/>
          </w:tcPr>
          <w:p>
            <w:pPr>
              <w:jc w:val="center"/>
              <w:rPr>
                <w:rStyle w:val="606"/>
                <w:rFonts w:eastAsiaTheme="minorHAnsi"/>
                <w:i w:val="false"/>
                <w:sz w:val="24"/>
                <w:szCs w:val="24"/>
              </w:rPr>
            </w:pPr>
            <w:r>
              <w:rPr>
                <w:rStyle w:val="606"/>
                <w:rFonts w:eastAsiaTheme="minorHAnsi"/>
                <w:sz w:val="24"/>
                <w:szCs w:val="24"/>
              </w:rPr>
              <w:t xml:space="preserve">Администрация </w:t>
            </w:r>
            <w:r>
              <w:rPr>
                <w:rStyle w:val="606"/>
                <w:rFonts w:eastAsiaTheme="minorHAnsi"/>
                <w:sz w:val="24"/>
                <w:szCs w:val="24"/>
              </w:rPr>
              <w:t xml:space="preserve">Новооскольского</w:t>
            </w:r>
            <w:r>
              <w:rPr>
                <w:rStyle w:val="606"/>
                <w:rFonts w:eastAsiaTheme="minorHAnsi"/>
                <w:sz w:val="24"/>
                <w:szCs w:val="24"/>
              </w:rPr>
              <w:t xml:space="preserve"> городского округа</w:t>
            </w:r>
            <w:r>
              <w:rPr>
                <w:rFonts w:eastAsiaTheme="minorHAnsi"/>
              </w:rPr>
            </w:r>
          </w:p>
          <w:p>
            <w:pPr>
              <w:jc w:val="center"/>
              <w:rPr>
                <w:rStyle w:val="606"/>
                <w:rFonts w:eastAsiaTheme="minorHAnsi"/>
                <w:b w:val="false"/>
                <w:sz w:val="24"/>
                <w:szCs w:val="24"/>
              </w:rPr>
            </w:pPr>
            <w:r>
              <w:rPr>
                <w:rStyle w:val="606"/>
                <w:rFonts w:eastAsiaTheme="minorHAnsi"/>
                <w:color w:val="FF0000"/>
              </w:rPr>
              <w:br/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</w:rPr>
              <w:br/>
              <w:t xml:space="preserve">предложений организаций и граждан по </w:t>
            </w:r>
            <w:r>
              <w:rPr>
                <w:rStyle w:val="607"/>
                <w:rFonts w:eastAsiaTheme="minorHAnsi"/>
              </w:rPr>
              <w:t xml:space="preserve">перечню действующих нормативных правовых</w:t>
            </w:r>
            <w:r>
              <w:rPr>
                <w:rStyle w:val="607"/>
                <w:rFonts w:eastAsiaTheme="minorHAnsi"/>
              </w:rPr>
              <w:br/>
              <w:t xml:space="preserve">актов</w:t>
            </w:r>
            <w:r>
              <w:rPr>
                <w:rFonts w:ascii="Times New Roman" w:hAnsi="Times New Roman" w:cs="Times New Roman" w:eastAsia="Times New Roman" w:eastAsiaTheme="minorHAnsi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 w:cs="Times New Roman" w:eastAsia="Times New Roman" w:eastAsiaTheme="minorHAnsi"/>
                <w:sz w:val="24"/>
                <w:szCs w:val="24"/>
                <w:lang w:eastAsia="ru-RU"/>
              </w:rPr>
              <w:t xml:space="preserve">Новооскольского</w:t>
            </w:r>
            <w:r>
              <w:rPr>
                <w:rFonts w:ascii="Times New Roman" w:hAnsi="Times New Roman" w:cs="Times New Roman" w:eastAsia="Times New Roman" w:eastAsiaTheme="minorHAnsi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eastAsiaTheme="minorHAnsi"/>
              </w:rPr>
            </w:r>
          </w:p>
          <w:p>
            <w:pPr>
              <w:jc w:val="center"/>
              <w:rPr>
                <w:rStyle w:val="606"/>
                <w:rFonts w:eastAsiaTheme="minorHAnsi"/>
                <w:i w:val="false"/>
                <w:sz w:val="24"/>
                <w:szCs w:val="24"/>
              </w:rPr>
            </w:pPr>
            <w:r>
              <w:rPr>
                <w:rFonts w:eastAsiaTheme="minorHAnsi"/>
                <w:i w:val="false"/>
                <w:sz w:val="24"/>
                <w:szCs w:val="24"/>
              </w:rPr>
            </w:r>
            <w:r>
              <w:rPr>
                <w:rFonts w:eastAsiaTheme="minorHAnsi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Style w:val="606"/>
                <w:rFonts w:eastAsiaTheme="minorHAnsi"/>
                <w:sz w:val="24"/>
                <w:szCs w:val="24"/>
              </w:rPr>
              <w:t xml:space="preserve">на предмет их влияния на конкуренцию</w:t>
            </w:r>
            <w:r>
              <w:rPr>
                <w:rFonts w:eastAsiaTheme="minorHAnsi"/>
              </w:rPr>
            </w:r>
          </w:p>
        </w:tc>
      </w:tr>
      <w:tr>
        <w:trPr>
          <w:trHeight w:val="2313"/>
        </w:trPr>
        <w:tc>
          <w:tcPr>
            <w:tcW w:w="9850" w:type="dxa"/>
            <w:textDirection w:val="lrTb"/>
            <w:noWrap w:val="false"/>
          </w:tcPr>
          <w:p>
            <w:pPr>
              <w:jc w:val="both"/>
              <w:spacing w:lineRule="exact" w:line="274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bidi="ru-RU"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      </w:r>
            <w:r/>
          </w:p>
          <w:p>
            <w:pP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  <w:t xml:space="preserve"> ул. 1 Мая, 2, г. Новый Оскол, </w:t>
            </w:r>
            <w:r>
              <w:rPr>
                <w:rFonts w:ascii="Times New Roman" w:hAnsi="Times New Roman" w:cs="Times New Roman" w:eastAsia="Arial Unicode MS"/>
                <w:color w:val="000000" w:themeColor="text1"/>
                <w:sz w:val="24"/>
                <w:szCs w:val="24"/>
                <w:lang w:bidi="ru-RU" w:eastAsia="ru-RU"/>
              </w:rPr>
              <w:t xml:space="preserve"> Белгородская область, 309640</w:t>
            </w:r>
            <w:r/>
          </w:p>
          <w:p>
            <w:pP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Arial Unicode MS"/>
                <w:color w:val="000000" w:themeColor="text1"/>
                <w:sz w:val="24"/>
                <w:szCs w:val="24"/>
                <w:lang w:bidi="ru-RU" w:eastAsia="ru-RU"/>
              </w:rPr>
              <w:t xml:space="preserve"> а также по адресу электронной почты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  <w:t xml:space="preserve">: 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val="en-US" w:bidi="ru-RU" w:eastAsia="ru-RU"/>
              </w:rPr>
              <w:t xml:space="preserve">e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  <w:t xml:space="preserve">-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val="en-US" w:bidi="ru-RU" w:eastAsia="ru-RU"/>
              </w:rPr>
              <w:t xml:space="preserve">mail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fill="FFFFFF" w:color="auto"/>
              </w:rPr>
              <w:t xml:space="preserve"> glava@no.belregion.ru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  <w:t xml:space="preserve">;.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  <w:t xml:space="preserve">   </w:t>
            </w:r>
            <w:r/>
          </w:p>
          <w:p>
            <w:pPr>
              <w:pStyle w:val="610"/>
              <w:jc w:val="both"/>
              <w:shd w:val="clear" w:fill="auto" w:color="auto"/>
              <w:tabs>
                <w:tab w:val="left" w:pos="5695" w:leader="underscore"/>
                <w:tab w:val="left" w:pos="7664" w:leader="underscor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</w:rPr>
              <w:t xml:space="preserve">с 01.06.2023 года по 01.09.2023 года (</w:t>
            </w:r>
            <w:r>
              <w:rPr>
                <w:i/>
                <w:sz w:val="24"/>
                <w:szCs w:val="24"/>
              </w:rPr>
              <w:t xml:space="preserve">указывается отчетный год</w:t>
            </w:r>
            <w:r>
              <w:rPr>
                <w:sz w:val="24"/>
                <w:szCs w:val="24"/>
              </w:rPr>
              <w:t xml:space="preserve">).</w:t>
            </w:r>
            <w:r/>
          </w:p>
          <w:p>
            <w:pPr>
              <w:pStyle w:val="610"/>
              <w:jc w:val="both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sz w:val="24"/>
                <w:szCs w:val="24"/>
                <w:lang w:eastAsia="ru-RU"/>
              </w:rPr>
              <w:t xml:space="preserve">Новооскольского</w:t>
            </w:r>
            <w:r>
              <w:rPr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 xml:space="preserve">на предмет выявления рисков нарушения антимонопольного законодательства, который </w:t>
            </w:r>
            <w:r>
              <w:rPr>
                <w:sz w:val="24"/>
                <w:szCs w:val="24"/>
              </w:rPr>
              <w:t xml:space="preserve">до 10.02.2024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sz w:val="24"/>
                <w:szCs w:val="24"/>
              </w:rPr>
              <w:t xml:space="preserve"> будет</w:t>
            </w:r>
            <w:r>
              <w:rPr>
                <w:sz w:val="24"/>
                <w:szCs w:val="24"/>
              </w:rPr>
              <w:t xml:space="preserve"> размещен на официальном сайте органов местного самоуправления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sz w:val="24"/>
                <w:szCs w:val="24"/>
              </w:rPr>
              <w:t xml:space="preserve">городского округа в разделе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pStyle w:val="610"/>
              <w:jc w:val="both"/>
              <w:shd w:val="clear" w:fill="auto" w:color="auto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10"/>
              <w:jc w:val="both"/>
              <w:shd w:val="clear" w:fill="auto" w:color="auto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pStyle w:val="610"/>
              <w:numPr>
                <w:ilvl w:val="0"/>
                <w:numId w:val="1"/>
              </w:numPr>
              <w:jc w:val="both"/>
              <w:shd w:val="clear" w:fill="auto" w:color="auto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610"/>
              <w:numPr>
                <w:ilvl w:val="0"/>
                <w:numId w:val="1"/>
              </w:numPr>
              <w:jc w:val="both"/>
              <w:shd w:val="clear" w:fill="auto" w:color="auto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действую</w:t>
            </w:r>
            <w:r>
              <w:rPr>
                <w:sz w:val="24"/>
                <w:szCs w:val="24"/>
              </w:rPr>
              <w:t xml:space="preserve">щих нормативных правовых актов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610"/>
              <w:numPr>
                <w:ilvl w:val="0"/>
                <w:numId w:val="1"/>
              </w:numPr>
              <w:jc w:val="both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Тексты действующих нормативн</w:t>
            </w:r>
            <w:r>
              <w:rPr>
                <w:sz w:val="24"/>
                <w:szCs w:val="24"/>
              </w:rPr>
              <w:t xml:space="preserve">ых правовых актов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610"/>
              <w:ind w:left="720" w:hanging="686"/>
              <w:jc w:val="both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</w:t>
            </w:r>
            <w:r>
              <w:rPr>
                <w:sz w:val="24"/>
                <w:szCs w:val="24"/>
              </w:rPr>
              <w:t xml:space="preserve">Интернет»</w:t>
            </w:r>
            <w:r/>
          </w:p>
          <w:p>
            <w:pPr>
              <w:pStyle w:val="610"/>
              <w:ind w:left="34"/>
              <w:jc w:val="both"/>
              <w:tabs>
                <w:tab w:val="left" w:pos="2905" w:leader="none"/>
                <w:tab w:val="left" w:pos="5695" w:leader="none"/>
                <w:tab w:val="left" w:pos="7949" w:leader="none"/>
              </w:tabs>
              <w:rPr>
                <w:rStyle w:val="606"/>
                <w:rFonts w:eastAsiaTheme="minorHAnsi"/>
                <w:i w:val="false"/>
              </w:rPr>
            </w:pPr>
            <w:r>
              <w:rPr>
                <w:sz w:val="24"/>
                <w:szCs w:val="24"/>
              </w:rPr>
              <w:t xml:space="preserve">- официальный сайт органов местного самоуправления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Новооскольского</w:t>
            </w:r>
            <w:r>
              <w:rPr>
                <w:sz w:val="24"/>
                <w:szCs w:val="24"/>
              </w:rPr>
              <w:t xml:space="preserve"> городского округа раздел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https</w:t>
            </w:r>
            <w:r>
              <w:rPr>
                <w:sz w:val="24"/>
                <w:szCs w:val="24"/>
              </w:rPr>
              <w:t xml:space="preserve">://</w:t>
            </w:r>
            <w:r>
              <w:rPr>
                <w:sz w:val="24"/>
                <w:szCs w:val="24"/>
                <w:lang w:val="en-US"/>
              </w:rPr>
              <w:t xml:space="preserve">novyjoskol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r</w:t>
            </w:r>
            <w:r>
              <w:rPr>
                <w:sz w:val="24"/>
                <w:szCs w:val="24"/>
              </w:rPr>
              <w:t xml:space="preserve">31.</w:t>
            </w:r>
            <w:r>
              <w:rPr>
                <w:sz w:val="24"/>
                <w:szCs w:val="24"/>
                <w:lang w:val="en-US"/>
              </w:rPr>
              <w:t xml:space="preserve">gosweb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gosuslugi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/</w:t>
            </w:r>
            <w:r/>
          </w:p>
        </w:tc>
      </w:tr>
      <w:tr>
        <w:trPr>
          <w:trHeight w:val="1585"/>
        </w:trPr>
        <w:tc>
          <w:tcPr>
            <w:tcW w:w="9850" w:type="dxa"/>
            <w:textDirection w:val="lrTb"/>
            <w:noWrap w:val="false"/>
          </w:tcPr>
          <w:p>
            <w:pPr>
              <w:jc w:val="both"/>
              <w:spacing w:lineRule="exact" w:line="274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Контактное лицо:</w:t>
            </w:r>
            <w:r/>
          </w:p>
          <w:p>
            <w:pPr>
              <w:jc w:val="both"/>
              <w:spacing w:lineRule="exact" w:line="274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Жогина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 Диана Дмитриевна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, главный специалист отдела правовой экспертизы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 правового управления администрации Новооскольского городского округа</w:t>
            </w:r>
            <w:r/>
          </w:p>
          <w:p>
            <w:pPr>
              <w:jc w:val="both"/>
              <w:spacing w:lineRule="exact" w:line="274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8(47233) 4-71-41</w:t>
            </w:r>
            <w:r/>
          </w:p>
          <w:p>
            <w:pPr>
              <w:jc w:val="both"/>
              <w:spacing w:lineRule="exact" w:line="274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Режим работы:</w:t>
            </w:r>
            <w:bookmarkStart w:id="1" w:name="_GoBack"/>
            <w:r/>
            <w:bookmarkEnd w:id="1"/>
            <w:r/>
            <w:r/>
          </w:p>
          <w:p>
            <w:pPr>
              <w:jc w:val="both"/>
              <w:spacing w:lineRule="exact" w:line="274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С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8-00 до 17-00, перерыв с 12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-00 до 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ru-RU" w:eastAsia="ru-RU"/>
              </w:rPr>
              <w:t xml:space="preserve">-00</w:t>
            </w:r>
            <w:r/>
          </w:p>
        </w:tc>
      </w:tr>
    </w:tbl>
    <w:p>
      <w:pPr>
        <w:jc w:val="right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0"/>
    <w:next w:val="60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0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0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0"/>
    <w:next w:val="60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0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0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0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0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0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0"/>
    <w:next w:val="60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01"/>
    <w:link w:val="32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01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1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1"/>
    <w:link w:val="42"/>
    <w:uiPriority w:val="99"/>
  </w:style>
  <w:style w:type="paragraph" w:styleId="44">
    <w:name w:val="Caption"/>
    <w:basedOn w:val="600"/>
    <w:next w:val="60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0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0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1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1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table" w:styleId="604">
    <w:name w:val="Table Grid"/>
    <w:basedOn w:val="602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605">
    <w:name w:val="Hyperlink"/>
    <w:basedOn w:val="601"/>
    <w:unhideWhenUsed/>
    <w:rPr>
      <w:color w:val="0000FF" w:themeColor="hyperlink"/>
      <w:u w:val="single"/>
    </w:rPr>
  </w:style>
  <w:style w:type="character" w:styleId="606" w:customStyle="1">
    <w:name w:val="Основной текст (8) + 9 pt;Полужирный;Курсив"/>
    <w:basedOn w:val="601"/>
    <w:rPr>
      <w:rFonts w:ascii="Times New Roman" w:hAnsi="Times New Roman" w:cs="Times New Roman" w:eastAsia="Times New Roman"/>
      <w:b/>
      <w:bCs/>
      <w:i/>
      <w:iCs/>
      <w:smallCaps w:val="false"/>
      <w:strike w:val="false"/>
      <w:color w:val="000000"/>
      <w:spacing w:val="0"/>
      <w:position w:val="0"/>
      <w:sz w:val="18"/>
      <w:szCs w:val="18"/>
      <w:u w:val="none"/>
      <w:lang w:val="ru-RU" w:bidi="ru-RU" w:eastAsia="ru-RU"/>
    </w:rPr>
  </w:style>
  <w:style w:type="character" w:styleId="607" w:customStyle="1">
    <w:name w:val="Основной текст (8) + Полужирный"/>
    <w:basedOn w:val="601"/>
    <w:rPr>
      <w:rFonts w:ascii="Times New Roman" w:hAnsi="Times New Roman" w:cs="Times New Roman" w:eastAsia="Times New Roman"/>
      <w:b/>
      <w:bCs/>
      <w:i w:val="false"/>
      <w:iCs w:val="false"/>
      <w:smallCaps w:val="false"/>
      <w:strike w:val="false"/>
      <w:color w:val="000000"/>
      <w:spacing w:val="0"/>
      <w:position w:val="0"/>
      <w:sz w:val="24"/>
      <w:szCs w:val="24"/>
      <w:u w:val="none"/>
      <w:lang w:val="ru-RU" w:bidi="ru-RU" w:eastAsia="ru-RU"/>
    </w:rPr>
  </w:style>
  <w:style w:type="character" w:styleId="608" w:customStyle="1">
    <w:name w:val="Основной текст (8)_"/>
    <w:basedOn w:val="601"/>
    <w:link w:val="610"/>
    <w:rPr>
      <w:rFonts w:ascii="Times New Roman" w:hAnsi="Times New Roman" w:cs="Times New Roman" w:eastAsia="Times New Roman"/>
      <w:shd w:val="clear" w:fill="FFFFFF" w:color="auto"/>
    </w:rPr>
  </w:style>
  <w:style w:type="character" w:styleId="609" w:customStyle="1">
    <w:name w:val="Основной текст (8) + Курсив"/>
    <w:basedOn w:val="608"/>
    <w:rPr>
      <w:rFonts w:ascii="Times New Roman" w:hAnsi="Times New Roman" w:cs="Times New Roman" w:eastAsia="Times New Roman"/>
      <w:i/>
      <w:iCs/>
      <w:color w:val="000000"/>
      <w:spacing w:val="0"/>
      <w:position w:val="0"/>
      <w:sz w:val="24"/>
      <w:szCs w:val="24"/>
      <w:shd w:val="clear" w:fill="FFFFFF" w:color="auto"/>
      <w:lang w:val="ru-RU" w:bidi="ru-RU" w:eastAsia="ru-RU"/>
    </w:rPr>
  </w:style>
  <w:style w:type="paragraph" w:styleId="610" w:customStyle="1">
    <w:name w:val="Основной текст (8)"/>
    <w:basedOn w:val="600"/>
    <w:link w:val="608"/>
    <w:rPr>
      <w:rFonts w:ascii="Times New Roman" w:hAnsi="Times New Roman" w:cs="Times New Roman" w:eastAsia="Times New Roman"/>
    </w:rPr>
    <w:pPr>
      <w:jc w:val="center"/>
      <w:spacing w:lineRule="exact" w:line="274" w:after="0"/>
      <w:shd w:val="clear" w:fill="FFFFFF" w:color="auto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revision>4</cp:revision>
  <dcterms:created xsi:type="dcterms:W3CDTF">2022-06-07T05:50:00Z</dcterms:created>
  <dcterms:modified xsi:type="dcterms:W3CDTF">2023-05-22T10:36:46Z</dcterms:modified>
</cp:coreProperties>
</file>