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B" w:rsidRDefault="00424A66">
      <w:pPr>
        <w:pStyle w:val="90"/>
        <w:framePr w:w="10224" w:h="1502" w:hRule="exact" w:wrap="around" w:vAnchor="page" w:hAnchor="page" w:x="853" w:y="1180"/>
        <w:shd w:val="clear" w:color="auto" w:fill="auto"/>
        <w:spacing w:after="0"/>
      </w:pPr>
      <w:r>
        <w:t>МЕМОРАНДУМ об обеспечении населения Российской Федерации оборудованием для приема программ цифрового эфирного вещания</w:t>
      </w:r>
    </w:p>
    <w:p w:rsidR="00C0318B" w:rsidRDefault="00424A66">
      <w:pPr>
        <w:pStyle w:val="2"/>
        <w:framePr w:wrap="around" w:vAnchor="page" w:hAnchor="page" w:x="853" w:y="3752"/>
        <w:shd w:val="clear" w:color="auto" w:fill="auto"/>
        <w:tabs>
          <w:tab w:val="right" w:pos="9658"/>
        </w:tabs>
        <w:spacing w:after="0" w:line="240" w:lineRule="exact"/>
        <w:ind w:left="20"/>
        <w:jc w:val="both"/>
      </w:pPr>
      <w:r>
        <w:t>г. Москва</w:t>
      </w:r>
      <w:r>
        <w:tab/>
        <w:t>«31» января 2019 г.</w:t>
      </w:r>
    </w:p>
    <w:p w:rsidR="00C0318B" w:rsidRDefault="00424A66">
      <w:pPr>
        <w:pStyle w:val="2"/>
        <w:framePr w:w="10224" w:h="10679" w:hRule="exact" w:wrap="around" w:vAnchor="page" w:hAnchor="page" w:x="853" w:y="5146"/>
        <w:shd w:val="clear" w:color="auto" w:fill="auto"/>
        <w:spacing w:after="240" w:line="322" w:lineRule="exact"/>
        <w:ind w:left="20" w:right="20" w:firstLine="700"/>
        <w:jc w:val="both"/>
      </w:pPr>
      <w:proofErr w:type="gramStart"/>
      <w:r>
        <w:t>Хозяйствующие субъекты, осуществляющие торговую деятельность, группа компаний «</w:t>
      </w:r>
      <w:proofErr w:type="spellStart"/>
      <w:r>
        <w:t>М.видео</w:t>
      </w:r>
      <w:proofErr w:type="spellEnd"/>
      <w:r>
        <w:t xml:space="preserve">-Эльдорадо», сеть магазинов </w:t>
      </w:r>
      <w:r>
        <w:rPr>
          <w:lang w:val="en-US" w:eastAsia="en-US" w:bidi="en-US"/>
        </w:rPr>
        <w:t>DNS</w:t>
      </w:r>
      <w:r w:rsidRPr="00AE254F">
        <w:rPr>
          <w:lang w:eastAsia="en-US" w:bidi="en-US"/>
        </w:rPr>
        <w:t xml:space="preserve">, </w:t>
      </w:r>
      <w:r>
        <w:t>Федеральное государственное унитарное предприятие «Почта России» (далее - «Почта России»), а также другие хозяйствующие субъекты, осуществляющие торговую деятельность, которые присоединились к настоящему Меморандуму (далее - Меморандум) в предусмотренном Меморандумом порядке (далее - Участники Меморандума), с целью обеспечения домохозяйств абонентским цифровым оборудованием, принимающим цифровой сигнал обязательных общедоступных телеканалов и (или) радиоканалов, принимая</w:t>
      </w:r>
      <w:proofErr w:type="gramEnd"/>
      <w:r>
        <w:t xml:space="preserve"> во внимание готовность Министерства цифрового развития, связи и массовых коммуникаций Российской Федерации (</w:t>
      </w:r>
      <w:proofErr w:type="spellStart"/>
      <w:r>
        <w:t>Минкомсвязь</w:t>
      </w:r>
      <w:proofErr w:type="spellEnd"/>
      <w:r>
        <w:t xml:space="preserve"> России) поддержать инициативу Участников Меморандума и оказывать участникам Меморандума содействие в его реализации в пределах, обозначенных в Меморандуме, если такое содействие не противоречит законодательству Российской Федерации, заключили настоящий Меморандум о следующем:</w:t>
      </w:r>
    </w:p>
    <w:p w:rsidR="00C0318B" w:rsidRDefault="00424A66">
      <w:pPr>
        <w:pStyle w:val="2"/>
        <w:framePr w:w="10224" w:h="10679" w:hRule="exact" w:wrap="around" w:vAnchor="page" w:hAnchor="page" w:x="853" w:y="5146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22" w:lineRule="exact"/>
        <w:ind w:left="20" w:right="20" w:firstLine="800"/>
        <w:jc w:val="both"/>
      </w:pPr>
      <w:r>
        <w:t xml:space="preserve">Участники Меморандума соглашаются обеспечить реализацию (розничную продажу) или возможность заказа в принадлежащих им торговых объектах, а «Почта России» - в объектах почтовой связи (далее - Торговые объекты) пользовательского цифрового телевизионного оборудования для приема сигнала в формате </w:t>
      </w:r>
      <w:r>
        <w:rPr>
          <w:lang w:val="en-US" w:eastAsia="en-US" w:bidi="en-US"/>
        </w:rPr>
        <w:t>DVB</w:t>
      </w:r>
      <w:r w:rsidRPr="00AE254F">
        <w:rPr>
          <w:lang w:eastAsia="en-US" w:bidi="en-US"/>
        </w:rPr>
        <w:t>-</w:t>
      </w:r>
      <w:r>
        <w:rPr>
          <w:lang w:val="en-US" w:eastAsia="en-US" w:bidi="en-US"/>
        </w:rPr>
        <w:t>T</w:t>
      </w:r>
      <w:r w:rsidRPr="00AE254F">
        <w:rPr>
          <w:lang w:eastAsia="en-US" w:bidi="en-US"/>
        </w:rPr>
        <w:t xml:space="preserve">2 </w:t>
      </w:r>
      <w:r>
        <w:t>(далее - Оборудование), Участники Меморандума будут стремиться к поддержанию наличия в Торговых объектах такого Оборудования в ассортименте и в различных ценовых категориях, в том числе в низшем ценовом сегменте. Перечень Торговых объектов, участвующих в реализации настоящего Меморандума, определяется Участником Меморандума самостоятельно, исходя из необходимости обеспечения доступности и удовлетворения спроса населения на такое Оборудование.</w:t>
      </w:r>
    </w:p>
    <w:p w:rsidR="00C0318B" w:rsidRPr="00031D28" w:rsidRDefault="00424A66" w:rsidP="00031D28">
      <w:pPr>
        <w:pStyle w:val="2"/>
        <w:framePr w:w="10224" w:h="10679" w:hRule="exact" w:wrap="around" w:vAnchor="page" w:hAnchor="page" w:x="853" w:y="5146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22" w:lineRule="exact"/>
        <w:ind w:left="20" w:right="20" w:firstLine="700"/>
        <w:jc w:val="both"/>
        <w:sectPr w:rsidR="00C0318B" w:rsidRPr="00031D2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t>Каждый Участник Меморандума обязуется информировать каждого потребителя, обратившегося в его Торговые объекты за Оборудованием и не обнаружившего подходящего для него Оборудования, о ближайших Торговых объектах такого Участника Меморандума, где подходящее для потребителя Оборудование есть в наличии, а также о возможности заказа такого Оборудования</w:t>
      </w:r>
    </w:p>
    <w:p w:rsidR="00C0318B" w:rsidRDefault="00424A66" w:rsidP="00031D28">
      <w:pPr>
        <w:pStyle w:val="2"/>
        <w:framePr w:w="10224" w:h="14528" w:hRule="exact" w:wrap="around" w:vAnchor="page" w:hAnchor="page" w:x="853" w:y="1051"/>
        <w:shd w:val="clear" w:color="auto" w:fill="auto"/>
        <w:spacing w:after="0" w:line="317" w:lineRule="exact"/>
        <w:ind w:right="20"/>
        <w:jc w:val="both"/>
      </w:pPr>
      <w:r>
        <w:lastRenderedPageBreak/>
        <w:t>непосредственно в Торговом объекте Участника Меморандума или на его сайте в сети «Интернет» (при наличии такой возможности).</w:t>
      </w:r>
    </w:p>
    <w:p w:rsidR="00C0318B" w:rsidRDefault="00424A66">
      <w:pPr>
        <w:pStyle w:val="2"/>
        <w:framePr w:w="10224" w:h="14528" w:hRule="exact" w:wrap="around" w:vAnchor="page" w:hAnchor="page" w:x="853" w:y="1051"/>
        <w:numPr>
          <w:ilvl w:val="0"/>
          <w:numId w:val="1"/>
        </w:numPr>
        <w:shd w:val="clear" w:color="auto" w:fill="auto"/>
        <w:spacing w:after="0" w:line="317" w:lineRule="exact"/>
        <w:ind w:left="20" w:right="20" w:firstLine="720"/>
        <w:jc w:val="both"/>
      </w:pPr>
      <w:r>
        <w:t xml:space="preserve"> Участники Меморандума соглашаются осуществлять обмен приобретенного у него потребителем Оборудования надлежащего качества, но не подошедшего потребителю, на Оборудование, подходящее потребителю, если оно есть в наличии в Торговом объекте, куда обратился потребитель, и (или) принимать возврат такого Оборудования. Обмен и (или) возврат Оборудования осуществляется Участником Меморандума в течение четырнадцати дней, не считая дня покупки Оборудования потребителем.</w:t>
      </w:r>
    </w:p>
    <w:p w:rsidR="00C0318B" w:rsidRDefault="00424A66">
      <w:pPr>
        <w:pStyle w:val="2"/>
        <w:framePr w:w="10224" w:h="14528" w:hRule="exact" w:wrap="around" w:vAnchor="page" w:hAnchor="page" w:x="853" w:y="1051"/>
        <w:shd w:val="clear" w:color="auto" w:fill="auto"/>
        <w:spacing w:after="0" w:line="317" w:lineRule="exact"/>
        <w:ind w:left="20" w:right="20" w:firstLine="720"/>
        <w:jc w:val="both"/>
      </w:pPr>
      <w:r>
        <w:t>Участники Меморандума соглашаются выполнять обязательства, предусмотренные настоящим пунктом, за свой счет или на условиях, согласованных с поставщиками Оборудования.</w:t>
      </w:r>
    </w:p>
    <w:p w:rsidR="00C0318B" w:rsidRDefault="00424A66">
      <w:pPr>
        <w:pStyle w:val="2"/>
        <w:framePr w:w="10224" w:h="14528" w:hRule="exact" w:wrap="around" w:vAnchor="page" w:hAnchor="page" w:x="853" w:y="1051"/>
        <w:shd w:val="clear" w:color="auto" w:fill="auto"/>
        <w:spacing w:after="0" w:line="317" w:lineRule="exact"/>
        <w:ind w:left="20" w:right="20" w:firstLine="720"/>
        <w:jc w:val="both"/>
      </w:pPr>
      <w:r>
        <w:t>Положения настоящего пункта не распространяются на случаи приобретения Оборудования в объектах почтовой связи.</w:t>
      </w:r>
    </w:p>
    <w:p w:rsidR="00C0318B" w:rsidRDefault="00424A66">
      <w:pPr>
        <w:pStyle w:val="2"/>
        <w:framePr w:w="10224" w:h="14528" w:hRule="exact" w:wrap="around" w:vAnchor="page" w:hAnchor="page" w:x="853" w:y="1051"/>
        <w:numPr>
          <w:ilvl w:val="0"/>
          <w:numId w:val="1"/>
        </w:numPr>
        <w:shd w:val="clear" w:color="auto" w:fill="auto"/>
        <w:spacing w:after="0" w:line="317" w:lineRule="exact"/>
        <w:ind w:left="20" w:right="20" w:firstLine="720"/>
        <w:jc w:val="both"/>
      </w:pPr>
      <w:r>
        <w:t xml:space="preserve"> Участники Меморандума обязуются информировать потребителей об участии в настоящем Меморандуме, в том числе с помощью информационного знака Участника Меморандума, используемого согласно пункту 5 настоящего Меморандума, и являющегося приложением к настоящему Меморандуму.</w:t>
      </w:r>
    </w:p>
    <w:p w:rsidR="00C0318B" w:rsidRDefault="00424A66" w:rsidP="00DB6335">
      <w:pPr>
        <w:pStyle w:val="2"/>
        <w:framePr w:w="10224" w:h="14528" w:hRule="exact" w:wrap="around" w:vAnchor="page" w:hAnchor="page" w:x="853" w:y="1051"/>
        <w:numPr>
          <w:ilvl w:val="0"/>
          <w:numId w:val="1"/>
        </w:numPr>
        <w:shd w:val="clear" w:color="auto" w:fill="auto"/>
        <w:tabs>
          <w:tab w:val="right" w:pos="3207"/>
          <w:tab w:val="right" w:pos="5900"/>
          <w:tab w:val="left" w:pos="6045"/>
          <w:tab w:val="left" w:pos="7604"/>
        </w:tabs>
        <w:spacing w:after="0" w:line="317" w:lineRule="exact"/>
        <w:ind w:left="20" w:right="20" w:firstLine="720"/>
        <w:jc w:val="both"/>
      </w:pPr>
      <w:r>
        <w:t>Информационный знак Участника Меморандума может использоваться путем</w:t>
      </w:r>
      <w:r>
        <w:tab/>
        <w:t>его размещения</w:t>
      </w:r>
      <w:r>
        <w:tab/>
        <w:t>на информационных</w:t>
      </w:r>
      <w:r>
        <w:tab/>
        <w:t>стендах, на</w:t>
      </w:r>
      <w:r>
        <w:tab/>
        <w:t>входе в помещение</w:t>
      </w:r>
      <w:r w:rsidR="00DB6335">
        <w:t xml:space="preserve"> </w:t>
      </w:r>
      <w:r>
        <w:t>Торгового объекта,</w:t>
      </w:r>
      <w:r w:rsidR="00DB6335">
        <w:t xml:space="preserve"> а также на иных носителях  </w:t>
      </w:r>
      <w:r>
        <w:t>информации,</w:t>
      </w:r>
      <w:r>
        <w:tab/>
        <w:t>предназначенной для</w:t>
      </w:r>
      <w:r w:rsidR="00DB6335">
        <w:t xml:space="preserve"> </w:t>
      </w:r>
      <w:r>
        <w:t>потребителя.</w:t>
      </w:r>
    </w:p>
    <w:p w:rsidR="00C0318B" w:rsidRDefault="00424A66" w:rsidP="00DB6335">
      <w:pPr>
        <w:pStyle w:val="2"/>
        <w:framePr w:w="10224" w:h="14528" w:hRule="exact" w:wrap="around" w:vAnchor="page" w:hAnchor="page" w:x="853" w:y="1051"/>
        <w:shd w:val="clear" w:color="auto" w:fill="auto"/>
        <w:spacing w:after="0" w:line="317" w:lineRule="exact"/>
        <w:ind w:left="20" w:right="20" w:firstLine="720"/>
        <w:jc w:val="both"/>
      </w:pPr>
      <w:r>
        <w:t>Допускается использование Знака в рекламных целях, а также его размещение на сайтах Участников Меморандума в сети «Интернет».</w:t>
      </w:r>
    </w:p>
    <w:p w:rsidR="00C0318B" w:rsidRDefault="00424A66" w:rsidP="00DB6335">
      <w:pPr>
        <w:pStyle w:val="2"/>
        <w:framePr w:w="10224" w:h="14528" w:hRule="exact" w:wrap="around" w:vAnchor="page" w:hAnchor="page" w:x="853" w:y="1051"/>
        <w:shd w:val="clear" w:color="auto" w:fill="auto"/>
        <w:tabs>
          <w:tab w:val="right" w:pos="3207"/>
          <w:tab w:val="right" w:pos="5900"/>
          <w:tab w:val="left" w:pos="6040"/>
          <w:tab w:val="left" w:pos="7604"/>
        </w:tabs>
        <w:spacing w:after="0" w:line="317" w:lineRule="exact"/>
        <w:ind w:left="20" w:right="20" w:firstLine="720"/>
        <w:jc w:val="both"/>
      </w:pPr>
      <w:r>
        <w:t>При использовании Знака не допускается исключение, изменение каких-либо элементов Знака либо их цвета (цветового сочетания), включение в изображение Знака</w:t>
      </w:r>
      <w:r>
        <w:tab/>
        <w:t>дополнительных</w:t>
      </w:r>
      <w:r>
        <w:tab/>
        <w:t>элементов, а также</w:t>
      </w:r>
      <w:r>
        <w:tab/>
        <w:t>искажение</w:t>
      </w:r>
      <w:r>
        <w:tab/>
        <w:t>пропорций и иных</w:t>
      </w:r>
    </w:p>
    <w:p w:rsidR="00C0318B" w:rsidRDefault="00424A66" w:rsidP="00DB6335">
      <w:pPr>
        <w:pStyle w:val="2"/>
        <w:framePr w:w="10224" w:h="14528" w:hRule="exact" w:wrap="around" w:vAnchor="page" w:hAnchor="page" w:x="853" w:y="1051"/>
        <w:shd w:val="clear" w:color="auto" w:fill="auto"/>
        <w:spacing w:after="0" w:line="317" w:lineRule="exact"/>
        <w:ind w:left="20"/>
        <w:jc w:val="both"/>
      </w:pPr>
      <w:r>
        <w:t>существенных признаков, определяющих внешний вид Знака.</w:t>
      </w:r>
    </w:p>
    <w:p w:rsidR="00C0318B" w:rsidRDefault="00424A66">
      <w:pPr>
        <w:pStyle w:val="2"/>
        <w:framePr w:w="10224" w:h="14528" w:hRule="exact" w:wrap="around" w:vAnchor="page" w:hAnchor="page" w:x="853" w:y="1051"/>
        <w:numPr>
          <w:ilvl w:val="0"/>
          <w:numId w:val="1"/>
        </w:numPr>
        <w:shd w:val="clear" w:color="auto" w:fill="auto"/>
        <w:tabs>
          <w:tab w:val="right" w:pos="3207"/>
          <w:tab w:val="right" w:pos="5900"/>
          <w:tab w:val="left" w:pos="7604"/>
        </w:tabs>
        <w:spacing w:after="0" w:line="317" w:lineRule="exact"/>
        <w:ind w:left="20" w:right="20" w:firstLine="720"/>
        <w:jc w:val="both"/>
      </w:pPr>
      <w:r>
        <w:t xml:space="preserve"> Хозяйствующие субъекты, осуществляющие торговую деятельность на территории более чем половины субъектов Российской Федерации, вправе в любое время</w:t>
      </w:r>
      <w:r>
        <w:tab/>
        <w:t>присоединиться</w:t>
      </w:r>
      <w:r>
        <w:tab/>
        <w:t>к настоящему Меморандуму</w:t>
      </w:r>
      <w:r>
        <w:tab/>
        <w:t>путем направления</w:t>
      </w:r>
    </w:p>
    <w:p w:rsidR="00C0318B" w:rsidRDefault="00424A66">
      <w:pPr>
        <w:pStyle w:val="2"/>
        <w:framePr w:w="10224" w:h="14528" w:hRule="exact" w:wrap="around" w:vAnchor="page" w:hAnchor="page" w:x="853" w:y="1051"/>
        <w:shd w:val="clear" w:color="auto" w:fill="auto"/>
        <w:spacing w:after="0" w:line="317" w:lineRule="exact"/>
        <w:ind w:left="20" w:right="20"/>
        <w:jc w:val="both"/>
      </w:pPr>
      <w:r>
        <w:t>информационного письма в Министерство цифрового развития, связи и массовых коммуникаций Российской Федерации, которое, в свою очередь, размещает на своем официальном сайте в сети «Интернет» перечень хозяйствующих субъектов, направивших информационные письма о присоединении к настоящему Меморандуму.</w:t>
      </w:r>
    </w:p>
    <w:p w:rsidR="00C0318B" w:rsidRDefault="00424A66">
      <w:pPr>
        <w:pStyle w:val="2"/>
        <w:framePr w:w="10224" w:h="14528" w:hRule="exact" w:wrap="around" w:vAnchor="page" w:hAnchor="page" w:x="853" w:y="1051"/>
        <w:shd w:val="clear" w:color="auto" w:fill="auto"/>
        <w:spacing w:after="0" w:line="317" w:lineRule="exact"/>
        <w:ind w:left="20" w:right="20" w:firstLine="720"/>
        <w:jc w:val="both"/>
      </w:pPr>
      <w:proofErr w:type="spellStart"/>
      <w:r>
        <w:t>Минкомсвязь</w:t>
      </w:r>
      <w:proofErr w:type="spellEnd"/>
      <w:r>
        <w:t xml:space="preserve"> России обращается в органы исполнительной власти субъектов Российской Федерации с рекомендациями по размещению на своих официальных сайтах перечней хозяйствующих субъектов, осуществляющих торговую деятельность в конкретном субъекте Российской Федерации (далее - региональные хозяйствующие субъекты) и принявших решение о присоединении к настоящему Меморандуму.</w:t>
      </w:r>
    </w:p>
    <w:p w:rsidR="00C0318B" w:rsidRDefault="00424A66">
      <w:pPr>
        <w:pStyle w:val="2"/>
        <w:framePr w:w="10224" w:h="14528" w:hRule="exact" w:wrap="around" w:vAnchor="page" w:hAnchor="page" w:x="853" w:y="1051"/>
        <w:shd w:val="clear" w:color="auto" w:fill="auto"/>
        <w:spacing w:after="0" w:line="317" w:lineRule="exact"/>
        <w:ind w:left="20" w:right="20" w:firstLine="720"/>
        <w:jc w:val="both"/>
      </w:pPr>
      <w:r>
        <w:t>Региональные хозяйствующие субъекты вправе в любое время присоединиться к настоящему Меморандуму путем направления информационного письма в адрес уполномоченного органа исполнительной власти субъекта</w:t>
      </w:r>
    </w:p>
    <w:p w:rsidR="00C0318B" w:rsidRDefault="00424A66">
      <w:pPr>
        <w:pStyle w:val="a8"/>
        <w:framePr w:wrap="around" w:vAnchor="page" w:hAnchor="page" w:x="10938" w:y="15804"/>
        <w:shd w:val="clear" w:color="auto" w:fill="auto"/>
        <w:spacing w:line="190" w:lineRule="exact"/>
        <w:ind w:left="20"/>
      </w:pPr>
      <w:r>
        <w:t>2</w:t>
      </w:r>
    </w:p>
    <w:p w:rsidR="00C0318B" w:rsidRDefault="00C0318B">
      <w:pPr>
        <w:rPr>
          <w:sz w:val="2"/>
          <w:szCs w:val="2"/>
        </w:rPr>
        <w:sectPr w:rsidR="00C0318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0318B" w:rsidRDefault="00424A66">
      <w:pPr>
        <w:pStyle w:val="2"/>
        <w:framePr w:w="10224" w:h="7738" w:hRule="exact" w:wrap="around" w:vAnchor="page" w:hAnchor="page" w:x="853" w:y="853"/>
        <w:shd w:val="clear" w:color="auto" w:fill="auto"/>
        <w:spacing w:after="0" w:line="322" w:lineRule="exact"/>
        <w:ind w:left="20" w:right="20"/>
        <w:jc w:val="both"/>
      </w:pPr>
      <w:r>
        <w:t xml:space="preserve">Российской Федерации, на территории </w:t>
      </w:r>
      <w:proofErr w:type="gramStart"/>
      <w:r>
        <w:t>которого</w:t>
      </w:r>
      <w:proofErr w:type="gramEnd"/>
      <w:r>
        <w:t xml:space="preserve"> такие хозяйствующие субъекты осуществляет торговую деятельность.</w:t>
      </w:r>
    </w:p>
    <w:p w:rsidR="00C0318B" w:rsidRDefault="00424A66">
      <w:pPr>
        <w:pStyle w:val="2"/>
        <w:framePr w:w="10224" w:h="7738" w:hRule="exact" w:wrap="around" w:vAnchor="page" w:hAnchor="page" w:x="853" w:y="85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Присоединившиеся к настоящему Меморандуму хозяйствующие субъекты, в том числе региональные, вправе начать использовать Знак в соответствии с условиями настоящего Меморандума после их включения в перечни, указанные в пункте 6 настоящего Меморандума.</w:t>
      </w:r>
    </w:p>
    <w:p w:rsidR="00C0318B" w:rsidRDefault="00424A66">
      <w:pPr>
        <w:pStyle w:val="2"/>
        <w:framePr w:w="10224" w:h="7738" w:hRule="exact" w:wrap="around" w:vAnchor="page" w:hAnchor="page" w:x="853" w:y="85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Изменения в настоящий Меморандум и дополнения к нему, за исключением изменения состава Участников Меморандума, вносятся путем заключения дополнительного соглашения к настоящему Меморандуму, которое считается заключенным с момента его подписания всеми Участниками Меморандума.</w:t>
      </w:r>
    </w:p>
    <w:p w:rsidR="00C0318B" w:rsidRDefault="00424A66">
      <w:pPr>
        <w:pStyle w:val="2"/>
        <w:framePr w:w="10224" w:h="7738" w:hRule="exact" w:wrap="around" w:vAnchor="page" w:hAnchor="page" w:x="853" w:y="85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Все изменения в настоящий Меморандум и дополнения к нему, внесенные или принятые в соответствии с Меморандумом, являются неотъемлемыми частями Меморандума и обязательны для Участников Меморандума с момента внесения таких изменений и дополнений.</w:t>
      </w:r>
    </w:p>
    <w:p w:rsidR="00C0318B" w:rsidRDefault="00424A66">
      <w:pPr>
        <w:pStyle w:val="2"/>
        <w:framePr w:w="10224" w:h="7738" w:hRule="exact" w:wrap="around" w:vAnchor="page" w:hAnchor="page" w:x="853" w:y="85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Участник Меморандума в любой момент вправе выйти из состава Участников Меморандума путем направления информационного письма в адрес органа государственной власти, включившего его в перечень участников Меморандума, в порядке, предусмотренном пунктом 6 настоящего Меморандума прекратить использовать Знак в соответствии с условиями настоящего Меморандума.</w:t>
      </w:r>
    </w:p>
    <w:p w:rsidR="00C0318B" w:rsidRDefault="00424A66">
      <w:pPr>
        <w:pStyle w:val="2"/>
        <w:framePr w:w="10224" w:h="7738" w:hRule="exact" w:wrap="around" w:vAnchor="page" w:hAnchor="page" w:x="853" w:y="853"/>
        <w:numPr>
          <w:ilvl w:val="0"/>
          <w:numId w:val="1"/>
        </w:numPr>
        <w:shd w:val="clear" w:color="auto" w:fill="auto"/>
        <w:spacing w:after="0" w:line="322" w:lineRule="exact"/>
        <w:ind w:left="20" w:firstLine="720"/>
        <w:jc w:val="both"/>
      </w:pPr>
      <w:r>
        <w:t xml:space="preserve"> </w:t>
      </w:r>
      <w:proofErr w:type="spellStart"/>
      <w:r>
        <w:t>Минкомсвязь</w:t>
      </w:r>
      <w:proofErr w:type="spellEnd"/>
      <w:r>
        <w:t xml:space="preserve"> России является держателем Меморандума.</w:t>
      </w:r>
    </w:p>
    <w:p w:rsidR="00C0318B" w:rsidRDefault="00424A66">
      <w:pPr>
        <w:pStyle w:val="2"/>
        <w:framePr w:w="10224" w:h="7738" w:hRule="exact" w:wrap="around" w:vAnchor="page" w:hAnchor="page" w:x="853" w:y="85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Настоящий Меморандум составлен в одном экземпляре и хранится в </w:t>
      </w:r>
      <w:proofErr w:type="spellStart"/>
      <w:r>
        <w:t>Минкомсвязи</w:t>
      </w:r>
      <w:proofErr w:type="spellEnd"/>
      <w:r>
        <w:t xml:space="preserve"> России. </w:t>
      </w:r>
      <w:proofErr w:type="spellStart"/>
      <w:r>
        <w:t>Минкомсвязь</w:t>
      </w:r>
      <w:proofErr w:type="spellEnd"/>
      <w:r>
        <w:t xml:space="preserve"> России публикует текст Меморандума на своем официальном сайте в сети «Интернет» </w:t>
      </w:r>
      <w:r>
        <w:rPr>
          <w:lang w:val="en-US" w:eastAsia="en-US" w:bidi="en-US"/>
        </w:rPr>
        <w:t>digital</w:t>
      </w:r>
      <w:r w:rsidRPr="00AE254F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gov</w:t>
      </w:r>
      <w:proofErr w:type="spellEnd"/>
      <w:r w:rsidRPr="00AE254F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AE254F">
        <w:rPr>
          <w:lang w:eastAsia="en-US" w:bidi="en-US"/>
        </w:rPr>
        <w:t>.</w:t>
      </w:r>
    </w:p>
    <w:p w:rsidR="00C0318B" w:rsidRDefault="00C0318B">
      <w:pPr>
        <w:pStyle w:val="aa"/>
        <w:framePr w:wrap="around" w:vAnchor="page" w:hAnchor="page" w:x="868" w:y="13242"/>
        <w:shd w:val="clear" w:color="auto" w:fill="auto"/>
        <w:spacing w:line="240" w:lineRule="exact"/>
      </w:pPr>
    </w:p>
    <w:p w:rsidR="00C0318B" w:rsidRDefault="00424A66">
      <w:pPr>
        <w:pStyle w:val="110"/>
        <w:framePr w:w="10224" w:h="337" w:hRule="exact" w:wrap="around" w:vAnchor="page" w:hAnchor="page" w:x="853" w:y="15481"/>
        <w:shd w:val="clear" w:color="auto" w:fill="auto"/>
        <w:spacing w:before="0" w:line="280" w:lineRule="exact"/>
        <w:ind w:right="20"/>
      </w:pPr>
      <w:r>
        <w:t>з</w:t>
      </w:r>
    </w:p>
    <w:p w:rsidR="00C0318B" w:rsidRDefault="00C0318B">
      <w:pPr>
        <w:rPr>
          <w:sz w:val="2"/>
          <w:szCs w:val="2"/>
        </w:rPr>
        <w:sectPr w:rsidR="00C0318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C0318B" w:rsidRDefault="00C0318B" w:rsidP="00031D28">
      <w:pPr>
        <w:pStyle w:val="a8"/>
        <w:framePr w:wrap="around" w:vAnchor="page" w:hAnchor="page" w:x="838" w:y="949"/>
        <w:shd w:val="clear" w:color="auto" w:fill="auto"/>
        <w:tabs>
          <w:tab w:val="right" w:pos="3803"/>
          <w:tab w:val="right" w:pos="6266"/>
        </w:tabs>
        <w:spacing w:line="190" w:lineRule="exact"/>
        <w:jc w:val="both"/>
        <w:rPr>
          <w:sz w:val="2"/>
          <w:szCs w:val="2"/>
        </w:rPr>
      </w:pPr>
    </w:p>
    <w:sectPr w:rsidR="00C0318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F6" w:rsidRDefault="00433EF6">
      <w:r>
        <w:separator/>
      </w:r>
    </w:p>
  </w:endnote>
  <w:endnote w:type="continuationSeparator" w:id="0">
    <w:p w:rsidR="00433EF6" w:rsidRDefault="0043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F6" w:rsidRDefault="00433EF6"/>
  </w:footnote>
  <w:footnote w:type="continuationSeparator" w:id="0">
    <w:p w:rsidR="00433EF6" w:rsidRDefault="00433E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6CCF"/>
    <w:multiLevelType w:val="multilevel"/>
    <w:tmpl w:val="11180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0318B"/>
    <w:rsid w:val="00031D28"/>
    <w:rsid w:val="00424A66"/>
    <w:rsid w:val="00433EF6"/>
    <w:rsid w:val="006F5C10"/>
    <w:rsid w:val="00AE254F"/>
    <w:rsid w:val="00C0318B"/>
    <w:rsid w:val="00DB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3"/>
      <w:sz w:val="13"/>
      <w:szCs w:val="13"/>
      <w:u w:val="none"/>
    </w:rPr>
  </w:style>
  <w:style w:type="character" w:customStyle="1" w:styleId="a5">
    <w:name w:val="Подпись к картинке_"/>
    <w:basedOn w:val="a0"/>
    <w:link w:val="a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1"/>
      <w:sz w:val="12"/>
      <w:szCs w:val="12"/>
      <w:u w:val="none"/>
    </w:rPr>
  </w:style>
  <w:style w:type="character" w:customStyle="1" w:styleId="61">
    <w:name w:val="Основной текст (6)"/>
    <w:basedOn w:val="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1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6pt0pt">
    <w:name w:val="Основной текст (7) + 6 pt;Интервал 0 pt"/>
    <w:basedOn w:val="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0">
    <w:name w:val="Основной текст (10)_"/>
    <w:basedOn w:val="a0"/>
    <w:link w:val="10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1pt0pt">
    <w:name w:val="Основной текст + 11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pt0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pt1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Narrow21pt-2pt">
    <w:name w:val="Основной текст + Arial Narrow;21 pt;Курсив;Интервал -2 pt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1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Основной текст (12)_"/>
    <w:basedOn w:val="a0"/>
    <w:link w:val="1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92"/>
      <w:sz w:val="76"/>
      <w:szCs w:val="76"/>
      <w:u w:val="none"/>
    </w:rPr>
  </w:style>
  <w:style w:type="character" w:customStyle="1" w:styleId="121">
    <w:name w:val="Основной текст (12)"/>
    <w:basedOn w:val="1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FFFFFF"/>
      <w:spacing w:val="92"/>
      <w:w w:val="100"/>
      <w:position w:val="0"/>
      <w:sz w:val="76"/>
      <w:szCs w:val="7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okmanOldStyle5pt0pt">
    <w:name w:val="Основной текст + Bookman Old Style;5 pt;Интервал 0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after="60" w:line="274" w:lineRule="exact"/>
      <w:jc w:val="center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211" w:lineRule="exact"/>
      <w:jc w:val="center"/>
    </w:pPr>
    <w:rPr>
      <w:rFonts w:ascii="Times New Roman" w:eastAsia="Times New Roman" w:hAnsi="Times New Roman" w:cs="Times New Roman"/>
      <w:spacing w:val="4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60" w:line="0" w:lineRule="atLeast"/>
      <w:ind w:firstLine="840"/>
      <w:jc w:val="both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840" w:line="0" w:lineRule="atLeast"/>
      <w:jc w:val="both"/>
    </w:pPr>
    <w:rPr>
      <w:rFonts w:ascii="Arial Unicode MS" w:eastAsia="Arial Unicode MS" w:hAnsi="Arial Unicode MS" w:cs="Arial Unicode MS"/>
      <w:spacing w:val="3"/>
      <w:sz w:val="13"/>
      <w:szCs w:val="1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40" w:lineRule="exact"/>
      <w:jc w:val="center"/>
    </w:pPr>
    <w:rPr>
      <w:rFonts w:ascii="Bookman Old Style" w:eastAsia="Bookman Old Style" w:hAnsi="Bookman Old Style" w:cs="Bookman Old Style"/>
      <w:b/>
      <w:bCs/>
      <w:spacing w:val="-5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20" w:line="0" w:lineRule="atLeast"/>
    </w:pPr>
    <w:rPr>
      <w:rFonts w:ascii="Arial Unicode MS" w:eastAsia="Arial Unicode MS" w:hAnsi="Arial Unicode MS" w:cs="Arial Unicode MS"/>
      <w:spacing w:val="11"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202" w:lineRule="exac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6"/>
      <w:sz w:val="17"/>
      <w:szCs w:val="1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900" w:line="480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322" w:lineRule="exact"/>
      <w:jc w:val="right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420" w:line="0" w:lineRule="atLeast"/>
      <w:jc w:val="right"/>
    </w:pPr>
    <w:rPr>
      <w:rFonts w:ascii="Arial Narrow" w:eastAsia="Arial Narrow" w:hAnsi="Arial Narrow" w:cs="Arial Narrow"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1080" w:line="979" w:lineRule="exact"/>
      <w:jc w:val="center"/>
    </w:pPr>
    <w:rPr>
      <w:rFonts w:ascii="Bookman Old Style" w:eastAsia="Bookman Old Style" w:hAnsi="Bookman Old Style" w:cs="Bookman Old Style"/>
      <w:b/>
      <w:bCs/>
      <w:spacing w:val="92"/>
      <w:sz w:val="76"/>
      <w:szCs w:val="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3"/>
      <w:sz w:val="13"/>
      <w:szCs w:val="13"/>
      <w:u w:val="none"/>
    </w:rPr>
  </w:style>
  <w:style w:type="character" w:customStyle="1" w:styleId="a5">
    <w:name w:val="Подпись к картинке_"/>
    <w:basedOn w:val="a0"/>
    <w:link w:val="a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1"/>
      <w:sz w:val="12"/>
      <w:szCs w:val="12"/>
      <w:u w:val="none"/>
    </w:rPr>
  </w:style>
  <w:style w:type="character" w:customStyle="1" w:styleId="61">
    <w:name w:val="Основной текст (6)"/>
    <w:basedOn w:val="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1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6pt0pt">
    <w:name w:val="Основной текст (7) + 6 pt;Интервал 0 pt"/>
    <w:basedOn w:val="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0">
    <w:name w:val="Основной текст (10)_"/>
    <w:basedOn w:val="a0"/>
    <w:link w:val="10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1pt0pt">
    <w:name w:val="Основной текст + 11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pt0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pt1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Narrow21pt-2pt">
    <w:name w:val="Основной текст + Arial Narrow;21 pt;Курсив;Интервал -2 pt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1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Основной текст (12)_"/>
    <w:basedOn w:val="a0"/>
    <w:link w:val="1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92"/>
      <w:sz w:val="76"/>
      <w:szCs w:val="76"/>
      <w:u w:val="none"/>
    </w:rPr>
  </w:style>
  <w:style w:type="character" w:customStyle="1" w:styleId="121">
    <w:name w:val="Основной текст (12)"/>
    <w:basedOn w:val="1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FFFFFF"/>
      <w:spacing w:val="92"/>
      <w:w w:val="100"/>
      <w:position w:val="0"/>
      <w:sz w:val="76"/>
      <w:szCs w:val="7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okmanOldStyle5pt0pt">
    <w:name w:val="Основной текст + Bookman Old Style;5 pt;Интервал 0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after="60" w:line="274" w:lineRule="exact"/>
      <w:jc w:val="center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211" w:lineRule="exact"/>
      <w:jc w:val="center"/>
    </w:pPr>
    <w:rPr>
      <w:rFonts w:ascii="Times New Roman" w:eastAsia="Times New Roman" w:hAnsi="Times New Roman" w:cs="Times New Roman"/>
      <w:spacing w:val="4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60" w:line="0" w:lineRule="atLeast"/>
      <w:ind w:firstLine="840"/>
      <w:jc w:val="both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840" w:line="0" w:lineRule="atLeast"/>
      <w:jc w:val="both"/>
    </w:pPr>
    <w:rPr>
      <w:rFonts w:ascii="Arial Unicode MS" w:eastAsia="Arial Unicode MS" w:hAnsi="Arial Unicode MS" w:cs="Arial Unicode MS"/>
      <w:spacing w:val="3"/>
      <w:sz w:val="13"/>
      <w:szCs w:val="1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40" w:lineRule="exact"/>
      <w:jc w:val="center"/>
    </w:pPr>
    <w:rPr>
      <w:rFonts w:ascii="Bookman Old Style" w:eastAsia="Bookman Old Style" w:hAnsi="Bookman Old Style" w:cs="Bookman Old Style"/>
      <w:b/>
      <w:bCs/>
      <w:spacing w:val="-5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20" w:line="0" w:lineRule="atLeast"/>
    </w:pPr>
    <w:rPr>
      <w:rFonts w:ascii="Arial Unicode MS" w:eastAsia="Arial Unicode MS" w:hAnsi="Arial Unicode MS" w:cs="Arial Unicode MS"/>
      <w:spacing w:val="11"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202" w:lineRule="exac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6"/>
      <w:sz w:val="17"/>
      <w:szCs w:val="1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900" w:line="480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322" w:lineRule="exact"/>
      <w:jc w:val="right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420" w:line="0" w:lineRule="atLeast"/>
      <w:jc w:val="right"/>
    </w:pPr>
    <w:rPr>
      <w:rFonts w:ascii="Arial Narrow" w:eastAsia="Arial Narrow" w:hAnsi="Arial Narrow" w:cs="Arial Narrow"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1080" w:line="979" w:lineRule="exact"/>
      <w:jc w:val="center"/>
    </w:pPr>
    <w:rPr>
      <w:rFonts w:ascii="Bookman Old Style" w:eastAsia="Bookman Old Style" w:hAnsi="Bookman Old Style" w:cs="Bookman Old Style"/>
      <w:b/>
      <w:bCs/>
      <w:spacing w:val="92"/>
      <w:sz w:val="76"/>
      <w:szCs w:val="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980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v.otchenashenko</dc:creator>
  <cp:lastModifiedBy>v.otchenashenko</cp:lastModifiedBy>
  <cp:revision>6</cp:revision>
  <dcterms:created xsi:type="dcterms:W3CDTF">2019-02-28T05:48:00Z</dcterms:created>
  <dcterms:modified xsi:type="dcterms:W3CDTF">2019-02-28T06:10:00Z</dcterms:modified>
</cp:coreProperties>
</file>