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Autospacing="on" w:beforeAutospacing="on" w:line="240" w:lineRule="auto"/>
        <w:ind/>
        <w:outlineLvl w:val="0"/>
        <w:rPr>
          <w:rFonts w:ascii="inherit" w:hAnsi="inherit"/>
          <w:caps w:val="1"/>
          <w:color w:val="373A3C"/>
          <w:sz w:val="48"/>
        </w:rPr>
      </w:pPr>
      <w:r>
        <w:rPr>
          <w:rFonts w:ascii="inherit" w:hAnsi="inherit"/>
          <w:caps w:val="1"/>
          <w:color w:val="373A3C"/>
          <w:sz w:val="48"/>
        </w:rPr>
        <w:t xml:space="preserve">УЧЁТНО-РЕГИСТРАЦИОННАЯ ДИСЦИПЛИНА В ОМВД РОССИИ ПО НОВООСКОЛЬСКОМУ ГОРОДСКОМУ ОКРУГУ </w:t>
      </w:r>
    </w:p>
    <w:p w14:paraId="02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Защита прав и свобод граждан, улучшение правопорядка в районе невозможны без получения полной и объективной информации о совершенных или готовящихся преступлениях. В значительной мере обеспечение полноты и достоверности такой информации достигается на основе строго и неуклонного соблюдения учетно-регистрационной дисциплины.</w:t>
      </w:r>
    </w:p>
    <w:p w14:paraId="03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Состоянию учётно-регистрационной дисциплины отводится особая роль в работе правоохранительных органов. Её нарушения имеют самые серьёзные последствия для всей деятельности органов внутренних дел. Во-первых, поздняя регистрация сообщений о преступлениях снижает возможность их раскрытия из-за утраты следов и вещественных доказательств. Во-вторых, порождает недоверие к деятельности органов внутренних дел и создаёт негативное отношение населения к сотрудникам органов внутренних дел.</w:t>
      </w:r>
    </w:p>
    <w:p w14:paraId="04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Порядок приема, регистрации и разрешения заявлений и сообщений граждан Российской Федерации, иностранных граждан, лиц без гражданства, должностных и иных лиц о преступлениях, об административных правонарушениях, о происшествиях устанавливает Инструкция, утвержденная приказом МВД РФ №736 от 29.08.2014.</w:t>
      </w:r>
    </w:p>
    <w:p w14:paraId="05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Гражданам при обращении в органы внутренних дел необходимо знать, что все поступающие сообщения о происшествиях, вне зависимости от места и времени совершения происшествий, а также полноты содержащихся в них сведений и формы представления, круглосуточно принимаются в любом органе внутренних дел. Сообщение о происшествии может поступать в орган внутренних дел лично от заявителя, по почте, по телефону, телеграфу, факсимильным или иным видом связи. Вне органов внутренних дел, где нет дежурных частей, сообщения о происшествиях и преступлениях обязаны принять любые сотрудники, которые действуют в соответствии с требованиями, установленными Законом Российской Федерации «О полиции».</w:t>
      </w:r>
    </w:p>
    <w:p w14:paraId="06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Регистрация сообщений о происшествиях осуществляется в КУСП (книге учета сообщений о происшествиях) круглосуточно в дежурной части, независимо от территории обслуживания.</w:t>
      </w:r>
    </w:p>
    <w:p w14:paraId="07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При приеме от заявителя письменного заявления о преступлении заявитель предупреждается об уголовной ответственности за заведомо ложный донос в соответствии со статьей 306 Уголовного кодекса Российской Федерации.</w:t>
      </w:r>
    </w:p>
    <w:p w14:paraId="08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Оперативный дежурный дежурной части, принявший заявление о преступлении, об административном правонарушении, о происшествии лично от заявителя, одновременно с регистрацией заявления обязан оформить талон-уведомление.</w:t>
      </w:r>
    </w:p>
    <w:p w14:paraId="09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По результатам рассмотрения заявлений и сообщений, информация о принятом решении, направляется заявителю в течение 24 часов с момента его принятия. При этом заявителю разъясняется его право обжаловать данное решение и порядок его обжалования.</w:t>
      </w:r>
    </w:p>
    <w:p w14:paraId="0A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Хочется напомнить, что эффективность работы сотрудников полиции напря</w:t>
      </w:r>
      <w:r>
        <w:rPr>
          <w:rFonts w:ascii="Segoe UI" w:hAnsi="Segoe UI"/>
          <w:color w:val="373A3C"/>
          <w:sz w:val="24"/>
        </w:rPr>
        <w:t>мую зависит и от того, насколько активно граждане будут сообщать об известных им фактах преступной деятельности. Лишь своевременное сообщение в полицию о со</w:t>
      </w:r>
      <w:r>
        <w:rPr>
          <w:rFonts w:ascii="Segoe UI" w:hAnsi="Segoe UI"/>
          <w:color w:val="373A3C"/>
          <w:sz w:val="24"/>
        </w:rPr>
        <w:t>вершенных противоправных деяниях позволяют правоохранителям действовать быст</w:t>
      </w:r>
      <w:r>
        <w:rPr>
          <w:rFonts w:ascii="Segoe UI" w:hAnsi="Segoe UI"/>
          <w:color w:val="373A3C"/>
          <w:sz w:val="24"/>
        </w:rPr>
        <w:t>ро, эффективно, раскрывать «по горячим» следам преступления и задерживать подо</w:t>
      </w:r>
      <w:r>
        <w:rPr>
          <w:rFonts w:ascii="Segoe UI" w:hAnsi="Segoe UI"/>
          <w:color w:val="373A3C"/>
          <w:sz w:val="24"/>
        </w:rPr>
        <w:t>зреваемых.</w:t>
      </w:r>
    </w:p>
    <w:p w14:paraId="0B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Уважаемые жители Новооскольского городского округа, если Вам стало известно что-либо о готовящихся или совершенных преступлениях, или правонарушениях, а также нарушениях, допущенных сотрудниками органов внутренних дел, просим сообщить по телефону дежурной части ОМВД России по Новооскольскому городскому округу: (847233) 4-48-56 или 02.</w:t>
      </w:r>
    </w:p>
    <w:p w14:paraId="0C000000">
      <w:pPr>
        <w:spacing w:afterAutospacing="on" w:line="240" w:lineRule="auto"/>
        <w:ind w:firstLine="708" w:left="0"/>
        <w:jc w:val="both"/>
        <w:rPr>
          <w:rFonts w:ascii="Segoe UI" w:hAnsi="Segoe UI"/>
          <w:color w:val="373A3C"/>
          <w:sz w:val="24"/>
        </w:rPr>
      </w:pPr>
      <w:r>
        <w:rPr>
          <w:rFonts w:ascii="Segoe UI" w:hAnsi="Segoe UI"/>
          <w:color w:val="373A3C"/>
          <w:sz w:val="24"/>
        </w:rPr>
        <w:t>На постоянной основе функционирует «телефон доверия» УМВД России по Белгородской области (84722) 35-20-33, по которому граждане могут сообщить о неправомерных действиях (бездействии) сотрудников полиции, в том числе при приеме и разрешении заявлений и сообщений о преступлениях.</w:t>
      </w:r>
    </w:p>
    <w:p w14:paraId="0D000000">
      <w:pPr>
        <w:rPr>
          <w:rFonts w:ascii="Times New Roman" w:hAnsi="Times New Roman"/>
          <w:sz w:val="24"/>
        </w:rPr>
      </w:pPr>
    </w:p>
    <w:p w14:paraId="0E000000">
      <w:pPr>
        <w:rPr>
          <w:rFonts w:ascii="Times New Roman" w:hAnsi="Times New Roman"/>
          <w:sz w:val="24"/>
        </w:rPr>
      </w:pPr>
    </w:p>
    <w:p w14:paraId="0F000000">
      <w:pPr>
        <w:rPr>
          <w:rFonts w:ascii="Times New Roman" w:hAnsi="Times New Roman"/>
          <w:sz w:val="24"/>
        </w:rPr>
      </w:pPr>
    </w:p>
    <w:p w14:paraId="10000000">
      <w:pPr>
        <w:rPr>
          <w:rFonts w:ascii="Times New Roman" w:hAnsi="Times New Roman"/>
          <w:sz w:val="24"/>
        </w:rPr>
      </w:pPr>
    </w:p>
    <w:p w14:paraId="11000000">
      <w:pPr>
        <w:rPr>
          <w:rFonts w:ascii="Times New Roman" w:hAnsi="Times New Roman"/>
          <w:sz w:val="24"/>
        </w:rPr>
      </w:pPr>
    </w:p>
    <w:p w14:paraId="12000000">
      <w:pPr>
        <w:rPr>
          <w:rFonts w:ascii="Times New Roman" w:hAnsi="Times New Roman"/>
          <w:sz w:val="24"/>
        </w:rPr>
      </w:pPr>
    </w:p>
    <w:p w14:paraId="13000000">
      <w:pPr>
        <w:rPr>
          <w:rFonts w:ascii="Times New Roman" w:hAnsi="Times New Roman"/>
          <w:sz w:val="24"/>
        </w:rPr>
      </w:pPr>
    </w:p>
    <w:p w14:paraId="14000000">
      <w:pPr>
        <w:rPr>
          <w:rFonts w:ascii="Times New Roman" w:hAnsi="Times New Roman"/>
          <w:sz w:val="24"/>
        </w:rPr>
      </w:pPr>
    </w:p>
    <w:p w14:paraId="15000000">
      <w:pPr>
        <w:rPr>
          <w:rFonts w:ascii="Times New Roman" w:hAnsi="Times New Roman"/>
          <w:sz w:val="24"/>
        </w:rPr>
      </w:pPr>
    </w:p>
    <w:p w14:paraId="16000000">
      <w:pPr>
        <w:rPr>
          <w:rFonts w:ascii="Times New Roman" w:hAnsi="Times New Roman"/>
          <w:sz w:val="24"/>
        </w:rPr>
      </w:pPr>
    </w:p>
    <w:p w14:paraId="17000000">
      <w:pPr>
        <w:rPr>
          <w:rFonts w:ascii="Times New Roman" w:hAnsi="Times New Roman"/>
          <w:sz w:val="24"/>
        </w:rPr>
      </w:pPr>
    </w:p>
    <w:p w14:paraId="18000000">
      <w:pPr>
        <w:rPr>
          <w:rFonts w:ascii="Times New Roman" w:hAnsi="Times New Roman"/>
          <w:sz w:val="24"/>
        </w:rPr>
      </w:pPr>
    </w:p>
    <w:p w14:paraId="19000000">
      <w:pPr>
        <w:rPr>
          <w:rFonts w:ascii="Times New Roman" w:hAnsi="Times New Roman"/>
          <w:sz w:val="24"/>
        </w:rPr>
      </w:pPr>
    </w:p>
    <w:p w14:paraId="1A000000">
      <w:pPr>
        <w:ind w:firstLine="0" w:left="-993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inline>
                <wp:extent cx="304800" cy="304800"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drawing>
          <wp:inline>
            <wp:extent cx="6833551" cy="503872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1"/>
                    <a:srcRect b="9008" l="0" r="0" t="0"/>
                    <a:stretch/>
                  </pic:blipFill>
                  <pic:spPr>
                    <a:xfrm flipH="false" flipV="false" rot="0">
                      <a:ext cx="6833551" cy="503872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B000000">
      <w:pPr>
        <w:rPr>
          <w:rFonts w:ascii="Times New Roman" w:hAnsi="Times New Roman"/>
          <w:sz w:val="24"/>
        </w:rPr>
      </w:pPr>
    </w:p>
    <w:p w14:paraId="1C000000">
      <w:pPr>
        <w:rPr>
          <w:rFonts w:ascii="Times New Roman" w:hAnsi="Times New Roman"/>
          <w:sz w:val="24"/>
        </w:rPr>
      </w:pPr>
    </w:p>
    <w:p w14:paraId="1D000000">
      <w:pPr>
        <w:rPr>
          <w:rFonts w:ascii="Times New Roman" w:hAnsi="Times New Roman"/>
          <w:sz w:val="24"/>
        </w:rPr>
      </w:pPr>
    </w:p>
    <w:p w14:paraId="1E000000">
      <w:pPr>
        <w:rPr>
          <w:rFonts w:ascii="Times New Roman" w:hAnsi="Times New Roman"/>
          <w:sz w:val="24"/>
        </w:rPr>
      </w:pPr>
    </w:p>
    <w:p w14:paraId="1F000000">
      <w:pPr>
        <w:rPr>
          <w:rFonts w:ascii="Times New Roman" w:hAnsi="Times New Roman"/>
          <w:sz w:val="24"/>
        </w:rPr>
      </w:pPr>
    </w:p>
    <w:p w14:paraId="20000000">
      <w:pPr>
        <w:rPr>
          <w:rFonts w:ascii="Times New Roman" w:hAnsi="Times New Roman"/>
          <w:sz w:val="24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MyOffice-CoreFramework-Android/33-1224.848.9354.852.1@c335a14a5742481cc8f26ecdf1133f38a1c9a55e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2024-07-19T12:19:50Z</dcterms:modified>
</cp:coreProperties>
</file>