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75" w:rsidRDefault="0070367A" w:rsidP="00501975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4739BF" wp14:editId="687F0B02">
                <wp:simplePos x="0" y="0"/>
                <wp:positionH relativeFrom="column">
                  <wp:posOffset>4733290</wp:posOffset>
                </wp:positionH>
                <wp:positionV relativeFrom="paragraph">
                  <wp:posOffset>-169545</wp:posOffset>
                </wp:positionV>
                <wp:extent cx="1418590" cy="1127760"/>
                <wp:effectExtent l="0" t="0" r="0" b="0"/>
                <wp:wrapNone/>
                <wp:docPr id="1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93968" w:rsidRDefault="00493968" w:rsidP="0070367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0367A">
                              <w:rPr>
                                <w:sz w:val="14"/>
                                <w:szCs w:val="14"/>
                              </w:rPr>
                              <w:t>Проект</w:t>
                            </w:r>
                          </w:p>
                          <w:p w:rsidR="00493968" w:rsidRPr="0070367A" w:rsidRDefault="00493968" w:rsidP="0070367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0367A">
                              <w:rPr>
                                <w:sz w:val="14"/>
                                <w:szCs w:val="14"/>
                              </w:rPr>
                              <w:t>вносится постоянной комиссии</w:t>
                            </w:r>
                          </w:p>
                          <w:p w:rsidR="00493968" w:rsidRPr="0070367A" w:rsidRDefault="00493968" w:rsidP="0070367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Совета депутатов</w:t>
                            </w:r>
                          </w:p>
                          <w:p w:rsidR="00493968" w:rsidRPr="0070367A" w:rsidRDefault="00493968" w:rsidP="0070367A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0367A">
                              <w:rPr>
                                <w:sz w:val="14"/>
                                <w:szCs w:val="14"/>
                              </w:rPr>
                              <w:t xml:space="preserve">по местному самоуправлению, </w:t>
                            </w:r>
                            <w:proofErr w:type="gramStart"/>
                            <w:r w:rsidRPr="0070367A">
                              <w:rPr>
                                <w:sz w:val="14"/>
                                <w:szCs w:val="14"/>
                              </w:rPr>
                              <w:t>нормативно-правовой</w:t>
                            </w:r>
                            <w:proofErr w:type="gramEnd"/>
                          </w:p>
                          <w:p w:rsidR="00493968" w:rsidRDefault="00493968" w:rsidP="0070367A">
                            <w:pPr>
                              <w:jc w:val="center"/>
                            </w:pPr>
                            <w:r w:rsidRPr="0070367A">
                              <w:rPr>
                                <w:sz w:val="14"/>
                                <w:szCs w:val="14"/>
                              </w:rPr>
                              <w:t>деятельности и</w:t>
                            </w:r>
                            <w:r>
                              <w:t xml:space="preserve"> </w:t>
                            </w:r>
                            <w:r w:rsidRPr="0070367A">
                              <w:rPr>
                                <w:sz w:val="14"/>
                                <w:szCs w:val="14"/>
                              </w:rPr>
                              <w:t>общественному правопорядку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372.7pt;margin-top:-13.35pt;width:111.7pt;height:8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" stroked="f">
                <v:textbox>
                  <w:txbxContent>
                    <w:p w:rsidR="0070367A" w:rsidRDefault="0070367A" w:rsidP="007036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0367A">
                        <w:rPr>
                          <w:sz w:val="14"/>
                          <w:szCs w:val="14"/>
                        </w:rPr>
                        <w:t>Проект</w:t>
                      </w:r>
                    </w:p>
                    <w:p w:rsidR="0070367A" w:rsidRPr="0070367A" w:rsidRDefault="0070367A" w:rsidP="007036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0367A">
                        <w:rPr>
                          <w:sz w:val="14"/>
                          <w:szCs w:val="14"/>
                        </w:rPr>
                        <w:t xml:space="preserve">вносится </w:t>
                      </w:r>
                      <w:r w:rsidRPr="0070367A">
                        <w:rPr>
                          <w:sz w:val="14"/>
                          <w:szCs w:val="14"/>
                        </w:rPr>
                        <w:t>постоянной комиссии</w:t>
                      </w:r>
                    </w:p>
                    <w:p w:rsidR="0070367A" w:rsidRPr="0070367A" w:rsidRDefault="0070367A" w:rsidP="007036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Совета депутатов</w:t>
                      </w:r>
                    </w:p>
                    <w:p w:rsidR="0070367A" w:rsidRPr="0070367A" w:rsidRDefault="0070367A" w:rsidP="007036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0367A">
                        <w:rPr>
                          <w:sz w:val="14"/>
                          <w:szCs w:val="14"/>
                        </w:rPr>
                        <w:t xml:space="preserve">по местному самоуправлению, </w:t>
                      </w:r>
                      <w:proofErr w:type="gramStart"/>
                      <w:r w:rsidRPr="0070367A">
                        <w:rPr>
                          <w:sz w:val="14"/>
                          <w:szCs w:val="14"/>
                        </w:rPr>
                        <w:t>нормативно-правовой</w:t>
                      </w:r>
                      <w:proofErr w:type="gramEnd"/>
                    </w:p>
                    <w:p w:rsidR="0068286C" w:rsidRDefault="0070367A" w:rsidP="0070367A">
                      <w:pPr>
                        <w:jc w:val="center"/>
                      </w:pPr>
                      <w:r w:rsidRPr="0070367A">
                        <w:rPr>
                          <w:sz w:val="14"/>
                          <w:szCs w:val="14"/>
                        </w:rPr>
                        <w:t>деятельности и</w:t>
                      </w:r>
                      <w:r>
                        <w:t xml:space="preserve"> </w:t>
                      </w:r>
                      <w:r w:rsidRPr="0070367A">
                        <w:rPr>
                          <w:sz w:val="14"/>
                          <w:szCs w:val="14"/>
                        </w:rPr>
                        <w:t>общественному правоп</w:t>
                      </w:r>
                      <w:bookmarkStart w:id="1" w:name="_GoBack"/>
                      <w:bookmarkEnd w:id="1"/>
                      <w:r w:rsidRPr="0070367A">
                        <w:rPr>
                          <w:sz w:val="14"/>
                          <w:szCs w:val="14"/>
                        </w:rPr>
                        <w:t>орядку</w:t>
                      </w:r>
                    </w:p>
                  </w:txbxContent>
                </v:textbox>
              </v:shape>
            </w:pict>
          </mc:Fallback>
        </mc:AlternateContent>
      </w:r>
      <w:r w:rsidR="00501975">
        <w:rPr>
          <w:noProof/>
          <w:lang w:eastAsia="ru-RU"/>
        </w:rPr>
        <w:drawing>
          <wp:inline distT="0" distB="0" distL="0" distR="0" wp14:anchorId="19B838EB" wp14:editId="4B6C5009">
            <wp:extent cx="518847" cy="614824"/>
            <wp:effectExtent l="0" t="0" r="0" b="0"/>
            <wp:docPr id="17" name="Рисунок 17" descr="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613510" name="Picture 2" descr="C:\Users\n.didenko\Desktop\Бланки новые\БЛАНКИ - 2020 год\герб_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/>
                  </pic:blipFill>
                  <pic:spPr bwMode="auto">
                    <a:xfrm>
                      <a:off x="0" y="0"/>
                      <a:ext cx="518846" cy="61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75" w:rsidRDefault="00501975" w:rsidP="00501975">
      <w:pPr>
        <w:jc w:val="center"/>
        <w:rPr>
          <w:b/>
          <w:sz w:val="28"/>
          <w:szCs w:val="28"/>
        </w:rPr>
      </w:pPr>
    </w:p>
    <w:p w:rsidR="00501975" w:rsidRDefault="00501975" w:rsidP="00501975">
      <w:pPr>
        <w:jc w:val="center"/>
        <w:rPr>
          <w:b/>
          <w:sz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501975" w:rsidRDefault="00501975" w:rsidP="00501975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501975" w:rsidRDefault="00501975" w:rsidP="00501975">
      <w:pPr>
        <w:jc w:val="center"/>
      </w:pPr>
    </w:p>
    <w:p w:rsidR="00501975" w:rsidRDefault="00501975" w:rsidP="00501975">
      <w:pPr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501975" w:rsidRDefault="00501975" w:rsidP="00501975">
      <w:pPr>
        <w:jc w:val="center"/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501975" w:rsidRDefault="00501975" w:rsidP="00501975">
      <w:pPr>
        <w:jc w:val="center"/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501975" w:rsidRDefault="00501975" w:rsidP="00501975">
      <w:pPr>
        <w:jc w:val="center"/>
      </w:pPr>
    </w:p>
    <w:p w:rsidR="00501975" w:rsidRDefault="00493968" w:rsidP="00501975">
      <w:pPr>
        <w:ind w:left="-142"/>
        <w:jc w:val="center"/>
      </w:pPr>
      <w:r>
        <w:rPr>
          <w:bCs/>
          <w:iCs/>
        </w:rPr>
        <w:t xml:space="preserve">Двадцать третье </w:t>
      </w:r>
      <w:bookmarkStart w:id="0" w:name="_GoBack"/>
      <w:bookmarkEnd w:id="0"/>
      <w:r w:rsidR="00501975">
        <w:rPr>
          <w:bCs/>
          <w:iCs/>
        </w:rPr>
        <w:t xml:space="preserve"> заседание  Совета депутатов  Новооскольского муниципального округа Белгородской области второго созыва</w:t>
      </w:r>
    </w:p>
    <w:p w:rsidR="00501975" w:rsidRDefault="00501975" w:rsidP="00501975">
      <w:pPr>
        <w:jc w:val="center"/>
      </w:pPr>
    </w:p>
    <w:p w:rsidR="00501975" w:rsidRDefault="00501975" w:rsidP="00501975">
      <w:pPr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501975" w:rsidRDefault="00501975" w:rsidP="00501975">
      <w:pPr>
        <w:jc w:val="center"/>
      </w:pPr>
    </w:p>
    <w:p w:rsidR="00501975" w:rsidRDefault="00501975" w:rsidP="00501975">
      <w:pPr>
        <w:jc w:val="center"/>
      </w:pPr>
      <w:r>
        <w:rPr>
          <w:bCs/>
          <w:iCs/>
          <w:sz w:val="24"/>
          <w:szCs w:val="24"/>
        </w:rPr>
        <w:t>____________</w:t>
      </w:r>
      <w:r>
        <w:rPr>
          <w:bCs/>
          <w:iCs/>
          <w:sz w:val="26"/>
          <w:szCs w:val="26"/>
        </w:rPr>
        <w:t>__ 20__  года                                                                                       №  ___</w:t>
      </w:r>
    </w:p>
    <w:p w:rsidR="00501975" w:rsidRDefault="00501975" w:rsidP="0068286C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rPr>
          <w:b/>
          <w:color w:val="000000"/>
          <w:sz w:val="27"/>
          <w:szCs w:val="27"/>
        </w:rPr>
      </w:pPr>
    </w:p>
    <w:p w:rsidR="00501975" w:rsidRDefault="00501975" w:rsidP="0068286C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rPr>
          <w:b/>
          <w:color w:val="000000"/>
          <w:sz w:val="27"/>
          <w:szCs w:val="27"/>
        </w:rPr>
      </w:pPr>
    </w:p>
    <w:p w:rsidR="00501975" w:rsidRDefault="00501975" w:rsidP="0068286C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rPr>
          <w:b/>
          <w:color w:val="000000"/>
          <w:sz w:val="27"/>
          <w:szCs w:val="27"/>
        </w:rPr>
      </w:pPr>
    </w:p>
    <w:p w:rsidR="00501975" w:rsidRPr="00F517EF" w:rsidRDefault="00501975" w:rsidP="00501975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contextualSpacing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>Об утверждении Положения о порядке</w:t>
      </w:r>
    </w:p>
    <w:p w:rsidR="00501975" w:rsidRPr="00F517EF" w:rsidRDefault="00501975" w:rsidP="00501975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contextualSpacing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>пред</w:t>
      </w:r>
      <w:r w:rsidR="006032EE">
        <w:rPr>
          <w:b/>
          <w:color w:val="000000"/>
          <w:sz w:val="26"/>
          <w:szCs w:val="26"/>
        </w:rPr>
        <w:t>о</w:t>
      </w:r>
      <w:r w:rsidRPr="00F517EF">
        <w:rPr>
          <w:b/>
          <w:color w:val="000000"/>
          <w:sz w:val="26"/>
          <w:szCs w:val="26"/>
        </w:rPr>
        <w:t xml:space="preserve">ставления    отпусков   и   иных </w:t>
      </w:r>
    </w:p>
    <w:p w:rsidR="00501975" w:rsidRPr="00F517EF" w:rsidRDefault="00501975" w:rsidP="00501975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contextualSpacing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 xml:space="preserve">социальных   гарантий    лицам, </w:t>
      </w:r>
    </w:p>
    <w:p w:rsidR="00501975" w:rsidRPr="00F517EF" w:rsidRDefault="00501975" w:rsidP="00501975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contextualSpacing/>
        <w:rPr>
          <w:b/>
          <w:color w:val="000000"/>
          <w:sz w:val="26"/>
          <w:szCs w:val="26"/>
        </w:rPr>
      </w:pPr>
      <w:proofErr w:type="gramStart"/>
      <w:r w:rsidRPr="00F517EF">
        <w:rPr>
          <w:b/>
          <w:color w:val="000000"/>
          <w:sz w:val="26"/>
          <w:szCs w:val="26"/>
        </w:rPr>
        <w:t>замещающим</w:t>
      </w:r>
      <w:proofErr w:type="gramEnd"/>
      <w:r w:rsidRPr="00F517EF">
        <w:rPr>
          <w:b/>
          <w:color w:val="000000"/>
          <w:sz w:val="26"/>
          <w:szCs w:val="26"/>
        </w:rPr>
        <w:t xml:space="preserve"> муниципальные должности</w:t>
      </w:r>
    </w:p>
    <w:p w:rsidR="00501975" w:rsidRPr="00F517EF" w:rsidRDefault="00501975" w:rsidP="00501975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contextualSpacing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>Новооскольского муниципального округа</w:t>
      </w:r>
    </w:p>
    <w:p w:rsidR="00501975" w:rsidRPr="00F517EF" w:rsidRDefault="00501975" w:rsidP="00501975">
      <w:pPr>
        <w:shd w:val="clear" w:color="auto" w:fill="FFFFFF"/>
        <w:ind w:hanging="19"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 xml:space="preserve">Белгородской  области  </w:t>
      </w:r>
      <w:proofErr w:type="gramStart"/>
      <w:r w:rsidRPr="00F517EF">
        <w:rPr>
          <w:b/>
          <w:color w:val="000000"/>
          <w:sz w:val="26"/>
          <w:szCs w:val="26"/>
        </w:rPr>
        <w:t>на</w:t>
      </w:r>
      <w:proofErr w:type="gramEnd"/>
      <w:r w:rsidRPr="00F517EF">
        <w:rPr>
          <w:b/>
          <w:color w:val="000000"/>
          <w:sz w:val="26"/>
          <w:szCs w:val="26"/>
        </w:rPr>
        <w:t xml:space="preserve">  постоянной</w:t>
      </w:r>
    </w:p>
    <w:p w:rsidR="00501975" w:rsidRPr="00F517EF" w:rsidRDefault="00501975" w:rsidP="00501975">
      <w:pPr>
        <w:shd w:val="clear" w:color="auto" w:fill="FFFFFF"/>
        <w:ind w:hanging="19"/>
        <w:rPr>
          <w:b/>
          <w:color w:val="000000"/>
          <w:sz w:val="26"/>
          <w:szCs w:val="26"/>
        </w:rPr>
      </w:pPr>
      <w:r w:rsidRPr="00F517EF">
        <w:rPr>
          <w:b/>
          <w:color w:val="000000"/>
          <w:sz w:val="26"/>
          <w:szCs w:val="26"/>
        </w:rPr>
        <w:t>(штатной) основе</w:t>
      </w:r>
      <w:r w:rsidRPr="00F517EF">
        <w:rPr>
          <w:b/>
          <w:color w:val="000000"/>
          <w:sz w:val="26"/>
          <w:szCs w:val="26"/>
        </w:rPr>
        <w:tab/>
      </w:r>
      <w:r w:rsidRPr="00F517EF">
        <w:rPr>
          <w:b/>
          <w:color w:val="000000"/>
          <w:sz w:val="26"/>
          <w:szCs w:val="26"/>
        </w:rPr>
        <w:tab/>
      </w:r>
    </w:p>
    <w:p w:rsidR="00501975" w:rsidRPr="00F517EF" w:rsidRDefault="00501975" w:rsidP="00501975">
      <w:pPr>
        <w:shd w:val="clear" w:color="auto" w:fill="FFFFFF"/>
        <w:ind w:firstLine="542"/>
        <w:jc w:val="both"/>
        <w:rPr>
          <w:b/>
          <w:color w:val="000000"/>
          <w:sz w:val="26"/>
          <w:szCs w:val="26"/>
        </w:rPr>
      </w:pPr>
    </w:p>
    <w:p w:rsidR="00501975" w:rsidRPr="00F517EF" w:rsidRDefault="00501975" w:rsidP="00501975">
      <w:pPr>
        <w:shd w:val="clear" w:color="auto" w:fill="FFFFFF"/>
        <w:ind w:firstLine="542"/>
        <w:jc w:val="both"/>
        <w:rPr>
          <w:b/>
          <w:color w:val="000000"/>
          <w:sz w:val="26"/>
          <w:szCs w:val="26"/>
        </w:rPr>
      </w:pPr>
    </w:p>
    <w:p w:rsidR="00501975" w:rsidRPr="00F517EF" w:rsidRDefault="00501975" w:rsidP="00501975">
      <w:pPr>
        <w:shd w:val="clear" w:color="auto" w:fill="FFFFFF"/>
        <w:ind w:firstLine="542"/>
        <w:jc w:val="both"/>
        <w:rPr>
          <w:b/>
          <w:color w:val="000000"/>
          <w:sz w:val="26"/>
          <w:szCs w:val="26"/>
        </w:rPr>
      </w:pPr>
    </w:p>
    <w:p w:rsidR="00501975" w:rsidRPr="00F517EF" w:rsidRDefault="00501975" w:rsidP="00501975">
      <w:pPr>
        <w:shd w:val="clear" w:color="auto" w:fill="FFFFFF"/>
        <w:ind w:firstLine="709"/>
        <w:jc w:val="both"/>
        <w:rPr>
          <w:b/>
          <w:bCs/>
          <w:color w:val="000000"/>
          <w:sz w:val="26"/>
          <w:szCs w:val="26"/>
        </w:rPr>
      </w:pPr>
      <w:r w:rsidRPr="00F517EF">
        <w:rPr>
          <w:color w:val="000000"/>
          <w:sz w:val="26"/>
          <w:szCs w:val="26"/>
        </w:rPr>
        <w:t xml:space="preserve">В соответствии с Трудовым кодексом Российской Федерации,  </w:t>
      </w:r>
      <w:r w:rsidRPr="00F517EF">
        <w:rPr>
          <w:sz w:val="26"/>
          <w:szCs w:val="26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</w:t>
      </w:r>
      <w:r w:rsidR="0068286C">
        <w:rPr>
          <w:sz w:val="26"/>
          <w:szCs w:val="26"/>
        </w:rPr>
        <w:t>ом</w:t>
      </w:r>
      <w:r w:rsidR="00F517EF" w:rsidRPr="00F517EF">
        <w:rPr>
          <w:sz w:val="26"/>
          <w:szCs w:val="26"/>
        </w:rPr>
        <w:t xml:space="preserve"> </w:t>
      </w:r>
      <w:r w:rsidRPr="00F517EF">
        <w:rPr>
          <w:sz w:val="26"/>
          <w:szCs w:val="26"/>
        </w:rPr>
        <w:t xml:space="preserve">Новооскольского муниципального округа Белгородской области </w:t>
      </w:r>
      <w:r w:rsidRPr="00F517EF">
        <w:rPr>
          <w:b/>
          <w:bCs/>
          <w:color w:val="000000"/>
          <w:sz w:val="26"/>
          <w:szCs w:val="26"/>
        </w:rPr>
        <w:t>Совет депутатов Новооскольского муниципального округа Белгородской области решил:</w:t>
      </w:r>
    </w:p>
    <w:p w:rsidR="00501975" w:rsidRPr="00F517EF" w:rsidRDefault="00501975" w:rsidP="00501975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F517EF">
        <w:rPr>
          <w:color w:val="000000"/>
          <w:sz w:val="26"/>
          <w:szCs w:val="26"/>
        </w:rPr>
        <w:t>1. Утвердить Положение о порядке предоставления отпусков и иных социальных гарантий лицам, замещающим муниципальные должности Новооскольского муниципального округа Белгородской области на постоянной (штатной) основе (прилагается).</w:t>
      </w:r>
    </w:p>
    <w:p w:rsidR="00501975" w:rsidRPr="00F517EF" w:rsidRDefault="00501975" w:rsidP="00501975">
      <w:pPr>
        <w:ind w:firstLine="709"/>
        <w:jc w:val="both"/>
        <w:outlineLvl w:val="0"/>
        <w:rPr>
          <w:sz w:val="26"/>
          <w:szCs w:val="26"/>
        </w:rPr>
      </w:pPr>
      <w:r w:rsidRPr="00F517EF">
        <w:rPr>
          <w:color w:val="000000"/>
          <w:sz w:val="26"/>
          <w:szCs w:val="26"/>
        </w:rPr>
        <w:t xml:space="preserve">2. </w:t>
      </w:r>
      <w:r w:rsidRPr="00F517EF">
        <w:rPr>
          <w:bCs/>
          <w:sz w:val="26"/>
          <w:szCs w:val="26"/>
        </w:rPr>
        <w:t>Признать  утратившими силу:</w:t>
      </w:r>
    </w:p>
    <w:p w:rsidR="00501975" w:rsidRPr="00F517EF" w:rsidRDefault="00501975" w:rsidP="00501975">
      <w:pPr>
        <w:ind w:firstLine="709"/>
        <w:jc w:val="both"/>
        <w:outlineLvl w:val="0"/>
        <w:rPr>
          <w:sz w:val="26"/>
          <w:szCs w:val="26"/>
        </w:rPr>
      </w:pPr>
      <w:r w:rsidRPr="00F517EF">
        <w:rPr>
          <w:bCs/>
          <w:sz w:val="26"/>
          <w:szCs w:val="26"/>
        </w:rPr>
        <w:t xml:space="preserve">1) решение Совета депутатов Новооскольского городского округа                            от 28 июня 2022 года № 793 «Об утверждении Положения о порядке </w:t>
      </w:r>
      <w:r w:rsidRPr="00F517EF">
        <w:rPr>
          <w:color w:val="000000"/>
          <w:sz w:val="26"/>
          <w:szCs w:val="26"/>
        </w:rPr>
        <w:t>предоставления отпусков и иных социальных гарантий лицам, замещающим муниципальные должности Новооскольского городского округа на постоянной (штатной) основе</w:t>
      </w:r>
      <w:r w:rsidRPr="00F517EF">
        <w:rPr>
          <w:bCs/>
          <w:sz w:val="26"/>
          <w:szCs w:val="26"/>
        </w:rPr>
        <w:t>».</w:t>
      </w:r>
    </w:p>
    <w:p w:rsidR="00501975" w:rsidRPr="00F517EF" w:rsidRDefault="00501975" w:rsidP="00501975">
      <w:pPr>
        <w:ind w:firstLine="709"/>
        <w:jc w:val="both"/>
        <w:outlineLvl w:val="0"/>
        <w:rPr>
          <w:color w:val="000000"/>
          <w:sz w:val="26"/>
          <w:szCs w:val="26"/>
        </w:rPr>
      </w:pPr>
      <w:r w:rsidRPr="00F517EF">
        <w:rPr>
          <w:bCs/>
          <w:sz w:val="26"/>
          <w:szCs w:val="26"/>
        </w:rPr>
        <w:t xml:space="preserve">  3</w:t>
      </w:r>
      <w:r w:rsidRPr="00F517EF">
        <w:rPr>
          <w:sz w:val="26"/>
          <w:szCs w:val="26"/>
        </w:rPr>
        <w:t xml:space="preserve">. </w:t>
      </w:r>
      <w:proofErr w:type="gramStart"/>
      <w:r w:rsidRPr="00F517EF">
        <w:rPr>
          <w:sz w:val="26"/>
          <w:szCs w:val="26"/>
        </w:rPr>
        <w:t>Разместить</w:t>
      </w:r>
      <w:proofErr w:type="gramEnd"/>
      <w:r w:rsidRPr="00F517EF">
        <w:rPr>
          <w:sz w:val="26"/>
          <w:szCs w:val="26"/>
        </w:rPr>
        <w:t xml:space="preserve"> настоящее решение на официальном сайте органов местного самоуправления Новооскольского муниципального округа                                           (</w:t>
      </w:r>
      <w:hyperlink r:id="rId10" w:tooltip="https://novyjoskol-r31.gosweb.gosuslugi.ru" w:history="1">
        <w:r w:rsidRPr="00F517EF">
          <w:rPr>
            <w:color w:val="000000" w:themeColor="text1"/>
            <w:sz w:val="26"/>
            <w:szCs w:val="26"/>
          </w:rPr>
          <w:t>novyjoskol-r31.gosweb.gosuslugi.ru</w:t>
        </w:r>
      </w:hyperlink>
      <w:r w:rsidRPr="00F517EF">
        <w:rPr>
          <w:color w:val="000000" w:themeColor="text1"/>
          <w:sz w:val="26"/>
          <w:szCs w:val="26"/>
        </w:rPr>
        <w:t>) в информационно - телекоммуникационной сети «Интернет».</w:t>
      </w:r>
    </w:p>
    <w:p w:rsidR="00B8564B" w:rsidRPr="00F517EF" w:rsidRDefault="00501975" w:rsidP="00501975">
      <w:pPr>
        <w:ind w:firstLine="709"/>
        <w:jc w:val="both"/>
        <w:rPr>
          <w:sz w:val="26"/>
          <w:szCs w:val="26"/>
        </w:rPr>
      </w:pPr>
      <w:r w:rsidRPr="00F517EF">
        <w:rPr>
          <w:color w:val="000000"/>
          <w:sz w:val="26"/>
          <w:szCs w:val="26"/>
        </w:rPr>
        <w:t xml:space="preserve"> 4</w:t>
      </w:r>
      <w:r w:rsidRPr="00F517EF">
        <w:rPr>
          <w:bCs/>
          <w:sz w:val="26"/>
          <w:szCs w:val="26"/>
        </w:rPr>
        <w:t>.</w:t>
      </w:r>
      <w:r w:rsidRPr="00F517EF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501975" w:rsidRPr="00F517EF" w:rsidRDefault="00B8564B" w:rsidP="00501975">
      <w:pPr>
        <w:ind w:firstLine="709"/>
        <w:jc w:val="both"/>
        <w:rPr>
          <w:sz w:val="26"/>
          <w:szCs w:val="26"/>
        </w:rPr>
      </w:pPr>
      <w:r w:rsidRPr="00F517EF">
        <w:rPr>
          <w:sz w:val="26"/>
          <w:szCs w:val="26"/>
        </w:rPr>
        <w:lastRenderedPageBreak/>
        <w:t xml:space="preserve"> 5. Действия пункта 3.4 Положения распространяется на правоотношения, возникшие с 01 января 2024 года.</w:t>
      </w:r>
    </w:p>
    <w:p w:rsidR="00501975" w:rsidRPr="00F517EF" w:rsidRDefault="00B8564B" w:rsidP="00501975">
      <w:pPr>
        <w:ind w:firstLine="709"/>
        <w:jc w:val="both"/>
        <w:outlineLvl w:val="0"/>
        <w:rPr>
          <w:sz w:val="26"/>
          <w:szCs w:val="26"/>
        </w:rPr>
      </w:pPr>
      <w:r w:rsidRPr="00F517EF">
        <w:rPr>
          <w:bCs/>
          <w:sz w:val="26"/>
          <w:szCs w:val="26"/>
        </w:rPr>
        <w:t>6</w:t>
      </w:r>
      <w:r w:rsidR="00501975" w:rsidRPr="00F517EF">
        <w:rPr>
          <w:bCs/>
          <w:sz w:val="26"/>
          <w:szCs w:val="26"/>
        </w:rPr>
        <w:t xml:space="preserve">. </w:t>
      </w:r>
      <w:proofErr w:type="gramStart"/>
      <w:r w:rsidR="00501975" w:rsidRPr="00F517EF">
        <w:rPr>
          <w:bCs/>
          <w:sz w:val="26"/>
          <w:szCs w:val="26"/>
        </w:rPr>
        <w:t>Контроль за</w:t>
      </w:r>
      <w:proofErr w:type="gramEnd"/>
      <w:r w:rsidR="00501975" w:rsidRPr="00F517EF">
        <w:rPr>
          <w:bCs/>
          <w:sz w:val="26"/>
          <w:szCs w:val="26"/>
        </w:rPr>
        <w:t xml:space="preserve"> выполнением решения возложить на  постоянную комиссию Совета депутатов Новооскольского муниципального округа по местному самоуправлению, нормативно – правовой деятельности и общественному правопорядку (Локтионов А.С.).</w:t>
      </w:r>
    </w:p>
    <w:p w:rsidR="00501975" w:rsidRPr="00F517EF" w:rsidRDefault="00501975" w:rsidP="00501975">
      <w:pPr>
        <w:shd w:val="clear" w:color="auto" w:fill="FFFFFF"/>
        <w:tabs>
          <w:tab w:val="left" w:pos="630"/>
          <w:tab w:val="left" w:pos="878"/>
        </w:tabs>
        <w:jc w:val="both"/>
        <w:rPr>
          <w:color w:val="000000"/>
          <w:sz w:val="26"/>
          <w:szCs w:val="26"/>
        </w:rPr>
      </w:pPr>
    </w:p>
    <w:p w:rsidR="00501975" w:rsidRPr="00F517EF" w:rsidRDefault="00501975" w:rsidP="00501975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p w:rsidR="00501975" w:rsidRPr="00F517EF" w:rsidRDefault="00501975" w:rsidP="00501975">
      <w:pPr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501975" w:rsidRPr="00F517EF" w:rsidTr="00F517EF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01975" w:rsidRPr="00F517EF" w:rsidRDefault="00501975" w:rsidP="00F517EF">
            <w:pPr>
              <w:jc w:val="center"/>
              <w:rPr>
                <w:b/>
                <w:sz w:val="26"/>
                <w:szCs w:val="26"/>
              </w:rPr>
            </w:pPr>
            <w:r w:rsidRPr="00F517EF">
              <w:rPr>
                <w:b/>
                <w:sz w:val="26"/>
                <w:szCs w:val="26"/>
              </w:rPr>
              <w:t>Председатель Совета депутатов</w:t>
            </w:r>
          </w:p>
          <w:p w:rsidR="00501975" w:rsidRPr="00F517EF" w:rsidRDefault="00501975" w:rsidP="00F517EF">
            <w:pPr>
              <w:jc w:val="center"/>
              <w:rPr>
                <w:b/>
                <w:sz w:val="26"/>
                <w:szCs w:val="26"/>
              </w:rPr>
            </w:pPr>
            <w:r w:rsidRPr="00F517EF">
              <w:rPr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01975" w:rsidRPr="00F517EF" w:rsidRDefault="00501975" w:rsidP="00F517EF">
            <w:pPr>
              <w:jc w:val="center"/>
              <w:rPr>
                <w:b/>
                <w:bCs/>
                <w:i/>
                <w:iCs/>
                <w:spacing w:val="-8"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01975" w:rsidRPr="00F517EF" w:rsidRDefault="00501975" w:rsidP="00F517EF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01975" w:rsidRPr="00F517EF" w:rsidRDefault="00501975" w:rsidP="00F517EF">
            <w:pPr>
              <w:tabs>
                <w:tab w:val="left" w:pos="1701"/>
              </w:tabs>
              <w:jc w:val="right"/>
              <w:rPr>
                <w:b/>
                <w:bCs/>
                <w:iCs/>
                <w:sz w:val="26"/>
                <w:szCs w:val="26"/>
              </w:rPr>
            </w:pPr>
            <w:r w:rsidRPr="00F517EF">
              <w:rPr>
                <w:b/>
                <w:bCs/>
                <w:iCs/>
                <w:sz w:val="26"/>
                <w:szCs w:val="26"/>
              </w:rPr>
              <w:t xml:space="preserve">   А.И. Попова</w:t>
            </w:r>
          </w:p>
        </w:tc>
      </w:tr>
    </w:tbl>
    <w:p w:rsidR="00501975" w:rsidRPr="00F517EF" w:rsidRDefault="00501975" w:rsidP="00501975">
      <w:pPr>
        <w:rPr>
          <w:sz w:val="26"/>
          <w:szCs w:val="26"/>
        </w:rPr>
        <w:sectPr w:rsidR="00501975" w:rsidRPr="00F517EF" w:rsidSect="00814EBC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outlineLvl w:val="0"/>
        <w:rPr>
          <w:b/>
          <w:sz w:val="26"/>
          <w:szCs w:val="26"/>
          <w:lang w:eastAsia="ru-RU"/>
        </w:rPr>
      </w:pPr>
      <w:r w:rsidRPr="00F517EF">
        <w:rPr>
          <w:b/>
          <w:sz w:val="26"/>
          <w:szCs w:val="26"/>
          <w:lang w:eastAsia="ru-RU"/>
        </w:rPr>
        <w:lastRenderedPageBreak/>
        <w:t xml:space="preserve"> </w:t>
      </w:r>
      <w:r w:rsidR="00FC413F" w:rsidRPr="00F517EF">
        <w:rPr>
          <w:b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F517EF">
        <w:rPr>
          <w:b/>
          <w:sz w:val="26"/>
          <w:szCs w:val="26"/>
          <w:lang w:eastAsia="ru-RU"/>
        </w:rPr>
        <w:t xml:space="preserve"> </w:t>
      </w:r>
      <w:r w:rsidR="0068286C">
        <w:rPr>
          <w:b/>
          <w:sz w:val="26"/>
          <w:szCs w:val="26"/>
          <w:lang w:eastAsia="ru-RU"/>
        </w:rPr>
        <w:t xml:space="preserve">     </w:t>
      </w:r>
      <w:r w:rsidRPr="00F517EF">
        <w:rPr>
          <w:b/>
          <w:sz w:val="26"/>
          <w:szCs w:val="26"/>
          <w:lang w:eastAsia="ru-RU"/>
        </w:rPr>
        <w:t>Приложение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outlineLvl w:val="0"/>
        <w:rPr>
          <w:b/>
          <w:sz w:val="26"/>
          <w:szCs w:val="26"/>
          <w:lang w:eastAsia="ru-RU"/>
        </w:rPr>
      </w:pPr>
    </w:p>
    <w:tbl>
      <w:tblPr>
        <w:tblStyle w:val="1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95"/>
      </w:tblGrid>
      <w:tr w:rsidR="00814EBC" w:rsidRPr="00F517EF" w:rsidTr="00814EBC">
        <w:tc>
          <w:tcPr>
            <w:tcW w:w="3652" w:type="dxa"/>
          </w:tcPr>
          <w:p w:rsidR="00814EBC" w:rsidRPr="00F517EF" w:rsidRDefault="00814EBC" w:rsidP="0081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814EBC" w:rsidRPr="00F517EF" w:rsidRDefault="00814EBC" w:rsidP="0081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УТВЕРЖДЕНО</w:t>
            </w:r>
          </w:p>
          <w:p w:rsidR="00814EBC" w:rsidRPr="00F517EF" w:rsidRDefault="00814EBC" w:rsidP="0081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решением Совета депутатов</w:t>
            </w:r>
          </w:p>
          <w:p w:rsidR="00814EBC" w:rsidRDefault="00814EBC" w:rsidP="0081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Новооскольского</w:t>
            </w:r>
            <w:r w:rsidR="00F517EF"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муниципального округа</w:t>
            </w:r>
          </w:p>
          <w:p w:rsidR="0068286C" w:rsidRPr="00F517EF" w:rsidRDefault="0068286C" w:rsidP="0081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Белгородской области</w:t>
            </w:r>
          </w:p>
          <w:p w:rsidR="00814EBC" w:rsidRPr="00F517EF" w:rsidRDefault="00814EBC" w:rsidP="00814EB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517E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 ____ноября 2024 г. № ____</w:t>
            </w:r>
          </w:p>
        </w:tc>
      </w:tr>
    </w:tbl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bookmarkStart w:id="1" w:name="Par31"/>
      <w:bookmarkEnd w:id="1"/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Положение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 xml:space="preserve"> о порядке предоставления отпусков и иных социальных гарантий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 xml:space="preserve"> лицам, замещающим муниципальные должности  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Новооскольского</w:t>
      </w:r>
      <w:r w:rsidR="00F517EF" w:rsidRPr="00F517EF">
        <w:rPr>
          <w:b/>
          <w:bCs/>
          <w:sz w:val="26"/>
          <w:szCs w:val="26"/>
          <w:lang w:eastAsia="ru-RU"/>
        </w:rPr>
        <w:t xml:space="preserve"> </w:t>
      </w:r>
      <w:r w:rsidRPr="00F517EF">
        <w:rPr>
          <w:b/>
          <w:bCs/>
          <w:sz w:val="26"/>
          <w:szCs w:val="26"/>
          <w:lang w:eastAsia="ru-RU"/>
        </w:rPr>
        <w:t>муниципального округа Белгородской области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на постоянной (штатной) основе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1. Общие положения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1.1. Настоящее Положение определяет продолжительность и порядок предоставления отпусков и иных социальных гарантий лицам, замещающим муниципальные должности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Pr="00F517EF">
        <w:rPr>
          <w:sz w:val="26"/>
          <w:szCs w:val="26"/>
          <w:lang w:eastAsia="ru-RU"/>
        </w:rPr>
        <w:t>муниципального округа Белгородской области на постоянной (штатной) основе (далее - лица, замещающее муниципальную должность).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1.2. К отношениям, связанным с замещением муниципальной должности, не урегулированным настоящим Положением, применяются нормы трудового законодательства, если это не противоречит существу указанных отношений.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2. Порядок и условия предоставления отпусков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2.1. Лица, замещающие муниципальные должности, имеют право на  ежегодный оплачиваемый отпуск продолжительностью 43 </w:t>
      </w:r>
      <w:proofErr w:type="gramStart"/>
      <w:r w:rsidRPr="00F517EF">
        <w:rPr>
          <w:sz w:val="26"/>
          <w:szCs w:val="26"/>
          <w:lang w:eastAsia="ru-RU"/>
        </w:rPr>
        <w:t>календарных</w:t>
      </w:r>
      <w:proofErr w:type="gramEnd"/>
      <w:r w:rsidRPr="00F517EF">
        <w:rPr>
          <w:sz w:val="26"/>
          <w:szCs w:val="26"/>
          <w:lang w:eastAsia="ru-RU"/>
        </w:rPr>
        <w:t xml:space="preserve"> дня. 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  <w:lang w:eastAsia="ru-RU"/>
        </w:rPr>
      </w:pPr>
      <w:r w:rsidRPr="00F517EF">
        <w:rPr>
          <w:b/>
          <w:bCs/>
          <w:sz w:val="26"/>
          <w:szCs w:val="26"/>
          <w:lang w:eastAsia="ru-RU"/>
        </w:rPr>
        <w:t>3. Гарантии лицам, замещающим муниципальные должности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3.1. Гарантии осуществления полномочий лиц, замещающих муниципальные должности</w:t>
      </w:r>
      <w:r w:rsidR="00F517EF">
        <w:rPr>
          <w:sz w:val="26"/>
          <w:szCs w:val="26"/>
          <w:lang w:eastAsia="ru-RU"/>
        </w:rPr>
        <w:t>,</w:t>
      </w:r>
      <w:r w:rsidRPr="00F517EF">
        <w:rPr>
          <w:sz w:val="26"/>
          <w:szCs w:val="26"/>
          <w:lang w:eastAsia="ru-RU"/>
        </w:rPr>
        <w:t xml:space="preserve"> устанавливаются федеральными законами, законами Белгородской области, Уставом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Pr="00F517EF">
        <w:rPr>
          <w:sz w:val="26"/>
          <w:szCs w:val="26"/>
          <w:lang w:eastAsia="ru-RU"/>
        </w:rPr>
        <w:t>муниципального округа Белгородской области, муниципальными  правовыми актами.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3.</w:t>
      </w:r>
      <w:r w:rsidR="00F517EF" w:rsidRPr="00F517EF">
        <w:rPr>
          <w:sz w:val="26"/>
          <w:szCs w:val="26"/>
          <w:lang w:eastAsia="ru-RU"/>
        </w:rPr>
        <w:t>2. Лица, замещающие муниципальные должности</w:t>
      </w:r>
      <w:r w:rsidRPr="00F517EF">
        <w:rPr>
          <w:sz w:val="26"/>
          <w:szCs w:val="26"/>
          <w:lang w:eastAsia="ru-RU"/>
        </w:rPr>
        <w:t xml:space="preserve">  имеют право на следующие гарантии: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1) пенсию за выслугу лет, назначаемую в порядке и при наличии условий, установленных решением Совета депутатов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Pr="00F517EF">
        <w:rPr>
          <w:sz w:val="26"/>
          <w:szCs w:val="26"/>
          <w:lang w:eastAsia="ru-RU"/>
        </w:rPr>
        <w:t>муниципального округа Белгородской области;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2) материально-техническое обеспечение своей деятельности;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3) профессиональное развитие, в том числе получение дополнительного профессионального образования;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4) возмещение расходов по проезду к месту командирования и обратно, по найму жилого помещения и иных расходов, связанных со служебной командировкой, </w:t>
      </w:r>
      <w:r w:rsidRPr="00F517EF">
        <w:rPr>
          <w:sz w:val="26"/>
          <w:szCs w:val="26"/>
          <w:lang w:eastAsia="ru-RU"/>
        </w:rPr>
        <w:lastRenderedPageBreak/>
        <w:t>осуществляется по фактическим расходам в порядке и пределах, установленных для муниципальных служащих Новооскольского</w:t>
      </w:r>
      <w:r w:rsidR="00595549" w:rsidRPr="00F517EF">
        <w:rPr>
          <w:sz w:val="26"/>
          <w:szCs w:val="26"/>
          <w:lang w:eastAsia="ru-RU"/>
        </w:rPr>
        <w:t xml:space="preserve"> муниципального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595549" w:rsidRPr="00F517EF">
        <w:rPr>
          <w:sz w:val="26"/>
          <w:szCs w:val="26"/>
          <w:lang w:eastAsia="ru-RU"/>
        </w:rPr>
        <w:t>ок</w:t>
      </w:r>
      <w:r w:rsidRPr="00F517EF">
        <w:rPr>
          <w:sz w:val="26"/>
          <w:szCs w:val="26"/>
          <w:lang w:eastAsia="ru-RU"/>
        </w:rPr>
        <w:t>руга</w:t>
      </w:r>
      <w:r w:rsidR="005E34F9" w:rsidRPr="00F517EF">
        <w:rPr>
          <w:sz w:val="26"/>
          <w:szCs w:val="26"/>
          <w:lang w:eastAsia="ru-RU"/>
        </w:rPr>
        <w:t xml:space="preserve"> Белгородской области</w:t>
      </w:r>
      <w:r w:rsidRPr="00F517EF">
        <w:rPr>
          <w:sz w:val="26"/>
          <w:szCs w:val="26"/>
          <w:lang w:eastAsia="ru-RU"/>
        </w:rPr>
        <w:t>, замещающих должности, относящиеся к высшей группе должностей муниципальной службы. При этом срок служебной командировки лица, замещающего муниципальную должность, определяется с учетом объема, сложности и других особенностей мероприятий, осуществляемых в ходе служебной командировки;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5) поощрения, осуществляемые в порядке, установленном федеральными законами и законами Белгородской области, муниципальными   правовыми актами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8E36B4" w:rsidRPr="00F517EF">
        <w:rPr>
          <w:sz w:val="26"/>
          <w:szCs w:val="26"/>
          <w:lang w:eastAsia="ru-RU"/>
        </w:rPr>
        <w:t>муниципального</w:t>
      </w:r>
      <w:r w:rsidRPr="00F517EF">
        <w:rPr>
          <w:sz w:val="26"/>
          <w:szCs w:val="26"/>
          <w:lang w:eastAsia="ru-RU"/>
        </w:rPr>
        <w:t xml:space="preserve"> округа</w:t>
      </w:r>
      <w:r w:rsidR="008E36B4" w:rsidRPr="00F517EF">
        <w:rPr>
          <w:sz w:val="26"/>
          <w:szCs w:val="26"/>
          <w:lang w:eastAsia="ru-RU"/>
        </w:rPr>
        <w:t xml:space="preserve"> Белгородской области</w:t>
      </w:r>
      <w:r w:rsidRPr="00F517EF">
        <w:rPr>
          <w:sz w:val="26"/>
          <w:szCs w:val="26"/>
          <w:lang w:eastAsia="ru-RU"/>
        </w:rPr>
        <w:t>.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3.3.</w:t>
      </w:r>
      <w:r w:rsidR="00BC6760" w:rsidRPr="00F517EF">
        <w:rPr>
          <w:sz w:val="26"/>
          <w:szCs w:val="26"/>
          <w:lang w:eastAsia="ru-RU"/>
        </w:rPr>
        <w:t xml:space="preserve"> </w:t>
      </w:r>
      <w:r w:rsidRPr="00F517EF">
        <w:rPr>
          <w:sz w:val="26"/>
          <w:szCs w:val="26"/>
          <w:lang w:eastAsia="ru-RU"/>
        </w:rPr>
        <w:t>Период замещения муниципальной должности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8E36B4" w:rsidRPr="00F517EF">
        <w:rPr>
          <w:sz w:val="26"/>
          <w:szCs w:val="26"/>
          <w:lang w:eastAsia="ru-RU"/>
        </w:rPr>
        <w:t xml:space="preserve">муниципального </w:t>
      </w:r>
      <w:r w:rsidRPr="00F517EF">
        <w:rPr>
          <w:sz w:val="26"/>
          <w:szCs w:val="26"/>
          <w:lang w:eastAsia="ru-RU"/>
        </w:rPr>
        <w:t>округа</w:t>
      </w:r>
      <w:r w:rsidR="008E36B4" w:rsidRPr="00F517EF">
        <w:rPr>
          <w:sz w:val="26"/>
          <w:szCs w:val="26"/>
          <w:lang w:eastAsia="ru-RU"/>
        </w:rPr>
        <w:t xml:space="preserve"> Белгородской области</w:t>
      </w:r>
      <w:r w:rsidRPr="00F517EF">
        <w:rPr>
          <w:sz w:val="26"/>
          <w:szCs w:val="26"/>
          <w:lang w:eastAsia="ru-RU"/>
        </w:rPr>
        <w:t>, на которой деятельность осуществляется на профессиональной постоянной (штатной) основе, включается в стаж муниципальной службы в соответствии с федеральными законами, законами Белгородской области.</w:t>
      </w:r>
    </w:p>
    <w:p w:rsidR="008E36B4" w:rsidRPr="00F517EF" w:rsidRDefault="008E36B4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3.4. </w:t>
      </w:r>
      <w:r w:rsidR="00E028B5" w:rsidRPr="00F517EF">
        <w:rPr>
          <w:sz w:val="26"/>
          <w:szCs w:val="26"/>
          <w:lang w:eastAsia="ru-RU"/>
        </w:rPr>
        <w:t>Лицам, замещающим муниципальные должности</w:t>
      </w:r>
      <w:r w:rsidR="00F517EF">
        <w:rPr>
          <w:sz w:val="26"/>
          <w:szCs w:val="26"/>
          <w:lang w:eastAsia="ru-RU"/>
        </w:rPr>
        <w:t xml:space="preserve">, один раз  </w:t>
      </w:r>
      <w:r w:rsidR="00E028B5" w:rsidRPr="00F517EF">
        <w:rPr>
          <w:sz w:val="26"/>
          <w:szCs w:val="26"/>
          <w:lang w:eastAsia="ru-RU"/>
        </w:rPr>
        <w:t>в календарн</w:t>
      </w:r>
      <w:r w:rsidR="00331995" w:rsidRPr="00F517EF">
        <w:rPr>
          <w:sz w:val="26"/>
          <w:szCs w:val="26"/>
          <w:lang w:eastAsia="ru-RU"/>
        </w:rPr>
        <w:t>ом</w:t>
      </w:r>
      <w:r w:rsidR="00E028B5" w:rsidRPr="00F517EF">
        <w:rPr>
          <w:sz w:val="26"/>
          <w:szCs w:val="26"/>
          <w:lang w:eastAsia="ru-RU"/>
        </w:rPr>
        <w:t xml:space="preserve"> год</w:t>
      </w:r>
      <w:r w:rsidR="00331995" w:rsidRPr="00F517EF">
        <w:rPr>
          <w:sz w:val="26"/>
          <w:szCs w:val="26"/>
          <w:lang w:eastAsia="ru-RU"/>
        </w:rPr>
        <w:t>у</w:t>
      </w:r>
      <w:r w:rsidR="00FC413F" w:rsidRPr="00F517EF">
        <w:rPr>
          <w:sz w:val="26"/>
          <w:szCs w:val="26"/>
          <w:lang w:eastAsia="ru-RU"/>
        </w:rPr>
        <w:t xml:space="preserve"> </w:t>
      </w:r>
      <w:r w:rsidR="00331995" w:rsidRPr="00F517EF">
        <w:rPr>
          <w:sz w:val="26"/>
          <w:szCs w:val="26"/>
          <w:lang w:eastAsia="ru-RU"/>
        </w:rPr>
        <w:t>производится</w:t>
      </w:r>
      <w:r w:rsidR="00E028B5" w:rsidRPr="00F517EF">
        <w:rPr>
          <w:sz w:val="26"/>
          <w:szCs w:val="26"/>
          <w:lang w:eastAsia="ru-RU"/>
        </w:rPr>
        <w:t xml:space="preserve"> единовременная выплата </w:t>
      </w:r>
      <w:r w:rsidR="001E57EF" w:rsidRPr="00F517EF">
        <w:rPr>
          <w:sz w:val="26"/>
          <w:szCs w:val="26"/>
          <w:lang w:eastAsia="ru-RU"/>
        </w:rPr>
        <w:t xml:space="preserve">на санаторно – курортное лечение </w:t>
      </w:r>
      <w:r w:rsidR="00FA2830" w:rsidRPr="00F517EF">
        <w:rPr>
          <w:sz w:val="26"/>
          <w:szCs w:val="26"/>
          <w:lang w:eastAsia="ru-RU"/>
        </w:rPr>
        <w:t>в размере трехкратного ежемесячного денежного вознаграждения</w:t>
      </w:r>
      <w:r w:rsidR="00ED5B96" w:rsidRPr="00F517EF">
        <w:rPr>
          <w:sz w:val="26"/>
          <w:szCs w:val="26"/>
          <w:lang w:eastAsia="ru-RU"/>
        </w:rPr>
        <w:t>, включающегося в себя оклад ежемесячного базового денежного вознаграждения, надбавки за особые условия исполнения полномочий,</w:t>
      </w:r>
      <w:r w:rsidR="00570A44" w:rsidRPr="00F517EF">
        <w:rPr>
          <w:sz w:val="26"/>
          <w:szCs w:val="26"/>
          <w:lang w:eastAsia="ru-RU"/>
        </w:rPr>
        <w:t xml:space="preserve"> ежемесячное денежное поощрение</w:t>
      </w:r>
      <w:r w:rsidR="001E57EF" w:rsidRPr="00F517EF">
        <w:rPr>
          <w:sz w:val="26"/>
          <w:szCs w:val="26"/>
          <w:lang w:eastAsia="ru-RU"/>
        </w:rPr>
        <w:t>.</w:t>
      </w:r>
    </w:p>
    <w:p w:rsidR="00477F8D" w:rsidRPr="00F517EF" w:rsidRDefault="00477F8D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Единовременная выплата </w:t>
      </w:r>
      <w:r w:rsidR="001E57EF" w:rsidRPr="00F517EF">
        <w:rPr>
          <w:sz w:val="26"/>
          <w:szCs w:val="26"/>
          <w:lang w:eastAsia="ru-RU"/>
        </w:rPr>
        <w:t>на санаторно-курортное лечение производится при предоставлении ежегодного оплачиваемого отпуска</w:t>
      </w:r>
      <w:r w:rsidR="002C306E" w:rsidRPr="00F517EF">
        <w:rPr>
          <w:sz w:val="26"/>
          <w:szCs w:val="26"/>
          <w:lang w:eastAsia="ru-RU"/>
        </w:rPr>
        <w:t xml:space="preserve"> </w:t>
      </w:r>
      <w:r w:rsidR="001E57EF" w:rsidRPr="00F517EF">
        <w:rPr>
          <w:sz w:val="26"/>
          <w:szCs w:val="26"/>
          <w:lang w:eastAsia="ru-RU"/>
        </w:rPr>
        <w:t>на основании правового акта по месту службы</w:t>
      </w:r>
      <w:r w:rsidR="007B5102" w:rsidRPr="00F517EF">
        <w:rPr>
          <w:sz w:val="26"/>
          <w:szCs w:val="26"/>
          <w:lang w:eastAsia="ru-RU"/>
        </w:rPr>
        <w:t xml:space="preserve"> </w:t>
      </w:r>
      <w:r w:rsidR="007B5102" w:rsidRPr="00F517EF">
        <w:rPr>
          <w:rFonts w:eastAsia="Calibri"/>
          <w:sz w:val="26"/>
          <w:szCs w:val="26"/>
        </w:rPr>
        <w:t>не ранее 1 июля текущего года.</w:t>
      </w:r>
    </w:p>
    <w:p w:rsidR="001E57EF" w:rsidRPr="00F517EF" w:rsidRDefault="001E57EF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За первый календарный год службы выплата производится за фактически отработанное время в декабре текущего года лицам, замещающим муниципальные должности, проработавшим в органах местного самоуправления Новооскольского муниципального округа Белгородской области не менее шести месяцев. </w:t>
      </w:r>
    </w:p>
    <w:p w:rsidR="00FD245F" w:rsidRPr="00F517EF" w:rsidRDefault="00FD245F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Размер выплаты за фактически отработанное время определяется путем </w:t>
      </w:r>
      <w:proofErr w:type="gramStart"/>
      <w:r w:rsidRPr="00F517EF">
        <w:rPr>
          <w:sz w:val="26"/>
          <w:szCs w:val="26"/>
          <w:lang w:eastAsia="ru-RU"/>
        </w:rPr>
        <w:t>деления</w:t>
      </w:r>
      <w:proofErr w:type="gramEnd"/>
      <w:r w:rsidRPr="00F517EF">
        <w:rPr>
          <w:sz w:val="26"/>
          <w:szCs w:val="26"/>
          <w:lang w:eastAsia="ru-RU"/>
        </w:rPr>
        <w:t xml:space="preserve"> установленного на дату выплаты размера выплаты на количество рабочих дней в данном году и умножения на количество отра</w:t>
      </w:r>
      <w:r w:rsidR="00F517EF">
        <w:rPr>
          <w:sz w:val="26"/>
          <w:szCs w:val="26"/>
          <w:lang w:eastAsia="ru-RU"/>
        </w:rPr>
        <w:t xml:space="preserve">ботанных рабочих дней </w:t>
      </w:r>
      <w:r w:rsidRPr="00F517EF">
        <w:rPr>
          <w:sz w:val="26"/>
          <w:szCs w:val="26"/>
          <w:lang w:eastAsia="ru-RU"/>
        </w:rPr>
        <w:t>за данный календарный год на муниципальных должностях.</w:t>
      </w:r>
    </w:p>
    <w:p w:rsidR="00D361E2" w:rsidRPr="00F517EF" w:rsidRDefault="00F7304A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Лицам, замещающим муниципальные должности, не использовавшим отпуск в течение текущего календарного года или не воспользовавшимся право</w:t>
      </w:r>
      <w:r w:rsidR="00607108" w:rsidRPr="00F517EF">
        <w:rPr>
          <w:sz w:val="26"/>
          <w:szCs w:val="26"/>
          <w:lang w:eastAsia="ru-RU"/>
        </w:rPr>
        <w:t>м на получение выпл</w:t>
      </w:r>
      <w:r w:rsidR="00B9311D" w:rsidRPr="00F517EF">
        <w:rPr>
          <w:sz w:val="26"/>
          <w:szCs w:val="26"/>
          <w:lang w:eastAsia="ru-RU"/>
        </w:rPr>
        <w:t>а</w:t>
      </w:r>
      <w:r w:rsidR="00607108" w:rsidRPr="00F517EF">
        <w:rPr>
          <w:sz w:val="26"/>
          <w:szCs w:val="26"/>
          <w:lang w:eastAsia="ru-RU"/>
        </w:rPr>
        <w:t>ты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021C27" w:rsidRPr="00F517EF">
        <w:rPr>
          <w:sz w:val="26"/>
          <w:szCs w:val="26"/>
          <w:lang w:eastAsia="ru-RU"/>
        </w:rPr>
        <w:t>при предоставлении ежегодного оплачиваемого отпуска, выплата производится в декабре текущего года и на следующий календарный год не переносится.</w:t>
      </w:r>
    </w:p>
    <w:p w:rsidR="0075201F" w:rsidRPr="00F517EF" w:rsidRDefault="00955F22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proofErr w:type="gramStart"/>
      <w:r w:rsidRPr="00F517EF">
        <w:rPr>
          <w:sz w:val="26"/>
          <w:szCs w:val="26"/>
          <w:lang w:eastAsia="ru-RU"/>
        </w:rPr>
        <w:t>Лицам, замещающим муниципальные должности после завершения отпуска, предоставленного в соответствии с частью 1 статьи 128, статьями 255, 256 Трудового кодекса Российской Федерации, имеют право на</w:t>
      </w:r>
      <w:r w:rsidR="00F517EF">
        <w:rPr>
          <w:sz w:val="26"/>
          <w:szCs w:val="26"/>
          <w:lang w:eastAsia="ru-RU"/>
        </w:rPr>
        <w:t xml:space="preserve"> выплату </w:t>
      </w:r>
      <w:r w:rsidRPr="00F517EF">
        <w:rPr>
          <w:sz w:val="26"/>
          <w:szCs w:val="26"/>
          <w:lang w:eastAsia="ru-RU"/>
        </w:rPr>
        <w:t xml:space="preserve">за фактически отработанное время в текущем году, но не ранее чем через шесть месяцев после завершения указанного отпуска при предоставлении ежегодного оплачиваемого </w:t>
      </w:r>
      <w:r w:rsidR="0075201F" w:rsidRPr="00F517EF">
        <w:rPr>
          <w:sz w:val="26"/>
          <w:szCs w:val="26"/>
          <w:lang w:eastAsia="ru-RU"/>
        </w:rPr>
        <w:t>отпуска или в декабре текущего года.</w:t>
      </w:r>
      <w:proofErr w:type="gramEnd"/>
    </w:p>
    <w:p w:rsidR="00331995" w:rsidRPr="00F517EF" w:rsidRDefault="00331995" w:rsidP="00331995">
      <w:pPr>
        <w:ind w:firstLine="709"/>
        <w:jc w:val="both"/>
        <w:rPr>
          <w:rFonts w:eastAsia="Calibri"/>
          <w:sz w:val="26"/>
          <w:szCs w:val="26"/>
        </w:rPr>
      </w:pPr>
      <w:r w:rsidRPr="00F517EF">
        <w:rPr>
          <w:rFonts w:eastAsia="Calibri"/>
          <w:sz w:val="26"/>
          <w:szCs w:val="26"/>
        </w:rPr>
        <w:t>Лицам, замещавшим в текущем календарном году муниципальные должности, должности муниципальной службы в органах местного самоуправления Новооскольского муниципального округа Белгородской области  и получившим выплату по предыдущему месту службы, выплата по новому месту службы в текущем календарном году не производится.</w:t>
      </w:r>
    </w:p>
    <w:p w:rsidR="00955F22" w:rsidRPr="00F517EF" w:rsidRDefault="0075201F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Получение (неполучение) выплаты подтверждается справкой с места службы. </w:t>
      </w:r>
    </w:p>
    <w:p w:rsidR="00D361E2" w:rsidRPr="00F517EF" w:rsidRDefault="00D361E2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lastRenderedPageBreak/>
        <w:t>Размер выплаты  не учитывается при исчислении среднего заработка лиц, замещающих муниципальные должности, если иное не предусмотрено действующим законодательством.</w:t>
      </w:r>
    </w:p>
    <w:p w:rsidR="00D04CB5" w:rsidRPr="00F517EF" w:rsidRDefault="00D361E2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Размер выплаты не включается в размер средне</w:t>
      </w:r>
      <w:r w:rsidR="00F517EF">
        <w:rPr>
          <w:sz w:val="26"/>
          <w:szCs w:val="26"/>
          <w:lang w:eastAsia="ru-RU"/>
        </w:rPr>
        <w:t xml:space="preserve">месячного заработка, </w:t>
      </w:r>
      <w:r w:rsidRPr="00F517EF">
        <w:rPr>
          <w:sz w:val="26"/>
          <w:szCs w:val="26"/>
          <w:lang w:eastAsia="ru-RU"/>
        </w:rPr>
        <w:t xml:space="preserve">из которого исчисляется размер пенсии за выслугу лет лицам, </w:t>
      </w:r>
      <w:r w:rsidR="00D04CB5" w:rsidRPr="00F517EF">
        <w:rPr>
          <w:sz w:val="26"/>
          <w:szCs w:val="26"/>
          <w:lang w:eastAsia="ru-RU"/>
        </w:rPr>
        <w:t>замещавшим</w:t>
      </w:r>
      <w:r w:rsidRPr="00F517EF">
        <w:rPr>
          <w:sz w:val="26"/>
          <w:szCs w:val="26"/>
          <w:lang w:eastAsia="ru-RU"/>
        </w:rPr>
        <w:t xml:space="preserve"> муниципальные должности</w:t>
      </w:r>
      <w:r w:rsidR="00D04CB5" w:rsidRPr="00F517EF">
        <w:rPr>
          <w:sz w:val="26"/>
          <w:szCs w:val="26"/>
          <w:lang w:eastAsia="ru-RU"/>
        </w:rPr>
        <w:t>.</w:t>
      </w:r>
    </w:p>
    <w:p w:rsidR="00D361E2" w:rsidRPr="00F517EF" w:rsidRDefault="00D04CB5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 xml:space="preserve">Финансирование расходов на осуществление выплат на санаторно-курортное лечение лиц, </w:t>
      </w:r>
      <w:r w:rsidR="00E97159" w:rsidRPr="00F517EF">
        <w:rPr>
          <w:sz w:val="26"/>
          <w:szCs w:val="26"/>
          <w:lang w:eastAsia="ru-RU"/>
        </w:rPr>
        <w:t>замещ</w:t>
      </w:r>
      <w:r w:rsidRPr="00F517EF">
        <w:rPr>
          <w:sz w:val="26"/>
          <w:szCs w:val="26"/>
          <w:lang w:eastAsia="ru-RU"/>
        </w:rPr>
        <w:t>ающих муниципальные должности</w:t>
      </w:r>
      <w:r w:rsidR="00F517EF">
        <w:rPr>
          <w:sz w:val="26"/>
          <w:szCs w:val="26"/>
          <w:lang w:eastAsia="ru-RU"/>
        </w:rPr>
        <w:t>,</w:t>
      </w:r>
      <w:r w:rsidRPr="00F517EF">
        <w:rPr>
          <w:sz w:val="26"/>
          <w:szCs w:val="26"/>
          <w:lang w:eastAsia="ru-RU"/>
        </w:rPr>
        <w:t xml:space="preserve"> </w:t>
      </w:r>
      <w:r w:rsidR="001B474B" w:rsidRPr="00F517EF">
        <w:rPr>
          <w:sz w:val="26"/>
          <w:szCs w:val="26"/>
          <w:lang w:eastAsia="ru-RU"/>
        </w:rPr>
        <w:t>осуществляются в пределах средств бюджета Новооскольского муниципального округа Белгородской области, предусмотренных на содержание органа местного самоуправления, в котором замещается соответствующая должность.</w:t>
      </w:r>
    </w:p>
    <w:p w:rsidR="00814EBC" w:rsidRPr="00F517EF" w:rsidRDefault="00814EBC" w:rsidP="00814EB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F517EF">
        <w:rPr>
          <w:sz w:val="26"/>
          <w:szCs w:val="26"/>
          <w:lang w:eastAsia="ru-RU"/>
        </w:rPr>
        <w:t>3.</w:t>
      </w:r>
      <w:r w:rsidR="008E36B4" w:rsidRPr="00F517EF">
        <w:rPr>
          <w:sz w:val="26"/>
          <w:szCs w:val="26"/>
          <w:lang w:eastAsia="ru-RU"/>
        </w:rPr>
        <w:t>5</w:t>
      </w:r>
      <w:r w:rsidRPr="00F517EF">
        <w:rPr>
          <w:sz w:val="26"/>
          <w:szCs w:val="26"/>
          <w:lang w:eastAsia="ru-RU"/>
        </w:rPr>
        <w:t>. Иные гарантии деятельности лиц, замещающих муниципальные должности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8E36B4" w:rsidRPr="00F517EF">
        <w:rPr>
          <w:sz w:val="26"/>
          <w:szCs w:val="26"/>
          <w:lang w:eastAsia="ru-RU"/>
        </w:rPr>
        <w:t>муниципального</w:t>
      </w:r>
      <w:r w:rsidRPr="00F517EF">
        <w:rPr>
          <w:sz w:val="26"/>
          <w:szCs w:val="26"/>
          <w:lang w:eastAsia="ru-RU"/>
        </w:rPr>
        <w:t xml:space="preserve"> округа</w:t>
      </w:r>
      <w:r w:rsidR="008E36B4" w:rsidRPr="00F517EF">
        <w:rPr>
          <w:sz w:val="26"/>
          <w:szCs w:val="26"/>
          <w:lang w:eastAsia="ru-RU"/>
        </w:rPr>
        <w:t xml:space="preserve"> Белгородской области          </w:t>
      </w:r>
      <w:r w:rsidRPr="00F517EF">
        <w:rPr>
          <w:sz w:val="26"/>
          <w:szCs w:val="26"/>
          <w:lang w:eastAsia="ru-RU"/>
        </w:rPr>
        <w:t xml:space="preserve"> на постоянной (штатной) основе, могут устанавливаться федеральными законами, законами Белгородской области, Уставом Новооскольского</w:t>
      </w:r>
      <w:r w:rsidR="00F517EF" w:rsidRPr="00F517EF">
        <w:rPr>
          <w:sz w:val="26"/>
          <w:szCs w:val="26"/>
          <w:lang w:eastAsia="ru-RU"/>
        </w:rPr>
        <w:t xml:space="preserve"> </w:t>
      </w:r>
      <w:r w:rsidR="008E36B4" w:rsidRPr="00F517EF">
        <w:rPr>
          <w:sz w:val="26"/>
          <w:szCs w:val="26"/>
          <w:lang w:eastAsia="ru-RU"/>
        </w:rPr>
        <w:t>муниципального</w:t>
      </w:r>
      <w:r w:rsidRPr="00F517EF">
        <w:rPr>
          <w:sz w:val="26"/>
          <w:szCs w:val="26"/>
          <w:lang w:eastAsia="ru-RU"/>
        </w:rPr>
        <w:t xml:space="preserve"> округа</w:t>
      </w:r>
      <w:r w:rsidR="008E36B4" w:rsidRPr="00F517EF">
        <w:rPr>
          <w:sz w:val="26"/>
          <w:szCs w:val="26"/>
          <w:lang w:eastAsia="ru-RU"/>
        </w:rPr>
        <w:t xml:space="preserve"> Белгородской области</w:t>
      </w:r>
      <w:r w:rsidRPr="00F517EF">
        <w:rPr>
          <w:sz w:val="26"/>
          <w:szCs w:val="26"/>
          <w:lang w:eastAsia="ru-RU"/>
        </w:rPr>
        <w:t>, муниципальными нормативными правовыми актами.</w:t>
      </w:r>
    </w:p>
    <w:p w:rsidR="00814EBC" w:rsidRPr="00F517EF" w:rsidRDefault="00814EBC" w:rsidP="00814EBC">
      <w:pPr>
        <w:jc w:val="both"/>
        <w:rPr>
          <w:rFonts w:eastAsia="Calibri"/>
          <w:sz w:val="26"/>
          <w:szCs w:val="26"/>
          <w:lang w:eastAsia="ru-RU"/>
        </w:rPr>
      </w:pPr>
    </w:p>
    <w:p w:rsidR="00814EBC" w:rsidRPr="00F517EF" w:rsidRDefault="00814EBC" w:rsidP="00814EBC">
      <w:pPr>
        <w:tabs>
          <w:tab w:val="left" w:pos="6096"/>
          <w:tab w:val="left" w:pos="6972"/>
          <w:tab w:val="left" w:pos="7140"/>
        </w:tabs>
        <w:ind w:right="-63"/>
        <w:rPr>
          <w:rFonts w:eastAsia="Calibri"/>
          <w:b/>
          <w:sz w:val="26"/>
          <w:szCs w:val="26"/>
          <w:lang w:eastAsia="ru-RU"/>
        </w:rPr>
      </w:pPr>
    </w:p>
    <w:p w:rsidR="009A4A85" w:rsidRPr="00F517EF" w:rsidRDefault="009A4A85" w:rsidP="00501975">
      <w:pPr>
        <w:shd w:val="clear" w:color="auto" w:fill="FFFFFF"/>
        <w:ind w:firstLine="720"/>
        <w:jc w:val="both"/>
        <w:rPr>
          <w:sz w:val="26"/>
          <w:szCs w:val="26"/>
        </w:rPr>
      </w:pPr>
    </w:p>
    <w:sectPr w:rsidR="009A4A85" w:rsidRPr="00F517EF" w:rsidSect="00F517EF">
      <w:headerReference w:type="defaul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68" w:rsidRDefault="00493968">
      <w:r>
        <w:separator/>
      </w:r>
    </w:p>
  </w:endnote>
  <w:endnote w:type="continuationSeparator" w:id="0">
    <w:p w:rsidR="00493968" w:rsidRDefault="0049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68" w:rsidRDefault="00493968">
    <w:pPr>
      <w:pStyle w:val="ad"/>
      <w:jc w:val="center"/>
    </w:pPr>
  </w:p>
  <w:p w:rsidR="00493968" w:rsidRDefault="0049396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68" w:rsidRDefault="00493968">
      <w:r>
        <w:separator/>
      </w:r>
    </w:p>
  </w:footnote>
  <w:footnote w:type="continuationSeparator" w:id="0">
    <w:p w:rsidR="00493968" w:rsidRDefault="00493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68" w:rsidRDefault="0049396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493968" w:rsidRDefault="0049396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68" w:rsidRDefault="00493968">
    <w:pPr>
      <w:pStyle w:val="ab"/>
      <w:framePr w:wrap="around" w:vAnchor="text" w:hAnchor="margin" w:xAlign="center" w:y="1"/>
      <w:rPr>
        <w:rStyle w:val="afa"/>
      </w:rPr>
    </w:pPr>
  </w:p>
  <w:p w:rsidR="00493968" w:rsidRDefault="00493968" w:rsidP="00745825">
    <w:pPr>
      <w:pStyle w:val="ab"/>
    </w:pPr>
    <w:r>
      <w:t xml:space="preserve">                                                                                            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68" w:rsidRDefault="00493968">
    <w:pPr>
      <w:pStyle w:val="ab"/>
    </w:pPr>
  </w:p>
  <w:p w:rsidR="00493968" w:rsidRDefault="00493968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087196"/>
      <w:docPartObj>
        <w:docPartGallery w:val="Page Numbers (Top of Page)"/>
        <w:docPartUnique/>
      </w:docPartObj>
    </w:sdtPr>
    <w:sdtContent>
      <w:p w:rsidR="00493968" w:rsidRDefault="0049396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DFE">
          <w:rPr>
            <w:noProof/>
          </w:rPr>
          <w:t>5</w:t>
        </w:r>
        <w:r>
          <w:fldChar w:fldCharType="end"/>
        </w:r>
      </w:p>
    </w:sdtContent>
  </w:sdt>
  <w:p w:rsidR="00493968" w:rsidRDefault="0049396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00BAB"/>
    <w:multiLevelType w:val="hybridMultilevel"/>
    <w:tmpl w:val="7EF63646"/>
    <w:lvl w:ilvl="0" w:tplc="8334D338">
      <w:start w:val="1"/>
      <w:numFmt w:val="decimal"/>
      <w:lvlText w:val="1.%1."/>
      <w:legacy w:legacy="1" w:legacySpace="0" w:legacyIndent="0"/>
      <w:lvlJc w:val="left"/>
      <w:rPr>
        <w:rFonts w:ascii="Times New Roman" w:hAnsi="Times New Roman"/>
      </w:rPr>
    </w:lvl>
    <w:lvl w:ilvl="1" w:tplc="86A87D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C8E8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7800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58BA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EEEA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1CF4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CE2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B9063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7B1F27B7"/>
    <w:multiLevelType w:val="multilevel"/>
    <w:tmpl w:val="E18C7B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225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85"/>
    <w:rsid w:val="00021C27"/>
    <w:rsid w:val="001251CF"/>
    <w:rsid w:val="001813BA"/>
    <w:rsid w:val="001B474B"/>
    <w:rsid w:val="001B49BC"/>
    <w:rsid w:val="001E57EF"/>
    <w:rsid w:val="001F2CA6"/>
    <w:rsid w:val="002617D2"/>
    <w:rsid w:val="002C306E"/>
    <w:rsid w:val="00331995"/>
    <w:rsid w:val="00337BD0"/>
    <w:rsid w:val="00477F8D"/>
    <w:rsid w:val="00493968"/>
    <w:rsid w:val="00501975"/>
    <w:rsid w:val="00570A44"/>
    <w:rsid w:val="00590989"/>
    <w:rsid w:val="00595549"/>
    <w:rsid w:val="005E34F9"/>
    <w:rsid w:val="006032EE"/>
    <w:rsid w:val="00607108"/>
    <w:rsid w:val="00634F28"/>
    <w:rsid w:val="00636586"/>
    <w:rsid w:val="0068286C"/>
    <w:rsid w:val="0070367A"/>
    <w:rsid w:val="0072544F"/>
    <w:rsid w:val="00745825"/>
    <w:rsid w:val="0075201F"/>
    <w:rsid w:val="0075227F"/>
    <w:rsid w:val="00791F6F"/>
    <w:rsid w:val="007B5102"/>
    <w:rsid w:val="007D738B"/>
    <w:rsid w:val="007E28A9"/>
    <w:rsid w:val="00814EBC"/>
    <w:rsid w:val="00856A03"/>
    <w:rsid w:val="008E36B4"/>
    <w:rsid w:val="00955F22"/>
    <w:rsid w:val="009A4A85"/>
    <w:rsid w:val="009B26B0"/>
    <w:rsid w:val="00A70200"/>
    <w:rsid w:val="00AA1190"/>
    <w:rsid w:val="00B24DFE"/>
    <w:rsid w:val="00B8564B"/>
    <w:rsid w:val="00B9311D"/>
    <w:rsid w:val="00BC07AD"/>
    <w:rsid w:val="00BC6760"/>
    <w:rsid w:val="00BF78DD"/>
    <w:rsid w:val="00CB080F"/>
    <w:rsid w:val="00D04CB5"/>
    <w:rsid w:val="00D361E2"/>
    <w:rsid w:val="00D47175"/>
    <w:rsid w:val="00E028B5"/>
    <w:rsid w:val="00E61E0A"/>
    <w:rsid w:val="00E97159"/>
    <w:rsid w:val="00ED5B96"/>
    <w:rsid w:val="00F517EF"/>
    <w:rsid w:val="00F7304A"/>
    <w:rsid w:val="00FA2830"/>
    <w:rsid w:val="00FC413F"/>
    <w:rsid w:val="00FD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table" w:customStyle="1" w:styleId="12">
    <w:name w:val="Сетка таблицы1"/>
    <w:basedOn w:val="a1"/>
    <w:next w:val="af0"/>
    <w:uiPriority w:val="59"/>
    <w:rsid w:val="00814E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table" w:customStyle="1" w:styleId="12">
    <w:name w:val="Сетка таблицы1"/>
    <w:basedOn w:val="a1"/>
    <w:next w:val="af0"/>
    <w:uiPriority w:val="59"/>
    <w:rsid w:val="00814E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https://novyjoskol-r3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7</cp:revision>
  <cp:lastPrinted>2024-11-11T07:58:00Z</cp:lastPrinted>
  <dcterms:created xsi:type="dcterms:W3CDTF">2024-11-07T14:16:00Z</dcterms:created>
  <dcterms:modified xsi:type="dcterms:W3CDTF">2024-11-11T08:56:00Z</dcterms:modified>
</cp:coreProperties>
</file>