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tabs>
          <w:tab w:val="center" w:pos="4819" w:leader="none"/>
          <w:tab w:val="left" w:pos="8097" w:leader="none"/>
        </w:tabs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85.2pt;mso-position-horizontal:absolute;mso-position-vertical-relative:text;margin-top:29.0pt;mso-position-vertical:absolute;width:85.8pt;height:57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4845390</wp:posOffset>
                </wp:positionH>
                <wp:positionV relativeFrom="paragraph">
                  <wp:posOffset>-49847</wp:posOffset>
                </wp:positionV>
                <wp:extent cx="1310935" cy="1571625"/>
                <wp:effectExtent l="6350" t="6350" r="6350" b="6350"/>
                <wp:wrapNone/>
                <wp:docPr id="2" name="Поле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310934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00" w:after="0" w:before="0"/>
                              <w:shd w:val="clear" w:fill="auto" w:color="auto"/>
                              <w:widowControl w:val="off"/>
                              <w:framePr w:w="1435" w:h="474" w:wrap="none" w:vAnchor="page" w:hAnchor="page" w:x="9579" w:y="1860" w:hRule="exac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Проект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вносится главой а</w:t>
                            </w: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дминистрации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Новооскольского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муниципального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округа</w:t>
                            </w:r>
                            <w:r/>
                          </w:p>
                          <w:p>
                            <w:pPr>
                              <w:pStyle w:val="889"/>
                              <w:ind w:left="180" w:right="0" w:firstLine="0"/>
                              <w:jc w:val="left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  Белгородской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области 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2336;o:allowoverlap:true;o:allowincell:true;mso-position-horizontal-relative:text;margin-left:381.5pt;mso-position-horizontal:absolute;mso-position-vertical-relative:text;margin-top:-3.9pt;mso-position-vertical:absolute;width:103.2pt;height:123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00" w:after="0" w:before="0"/>
                        <w:shd w:val="clear" w:fill="auto" w:color="auto"/>
                        <w:widowControl w:val="off"/>
                        <w:framePr w:w="1435" w:h="474" w:wrap="none" w:vAnchor="page" w:hAnchor="page" w:x="9579" w:y="1860" w:hRule="exac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Проект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вносится главой а</w:t>
                      </w: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дминистрации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Новооскольского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муниципального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округа</w:t>
                      </w:r>
                      <w:r/>
                    </w:p>
                    <w:p>
                      <w:pPr>
                        <w:pStyle w:val="889"/>
                        <w:ind w:left="180" w:right="0" w:firstLine="0"/>
                        <w:jc w:val="left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  Белгородской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области 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РОССИЙСКАЯ ФЕДЕРАЦИЯ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БЕЛГОРОДСКАЯ ОБЛАСТЬ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СОВЕТ ДЕПУТАТОВ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 ОКРУГА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БЕЛГОРОДСКОЙ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Восемнадцатое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второго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созыва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 Е Ш Е Н И 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____________ 20__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bCs/>
          <w:iCs/>
          <w:sz w:val="26"/>
          <w:szCs w:val="24"/>
          <w:highlight w:val="none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  <w:t xml:space="preserve">О внесении </w:t>
      </w:r>
      <w:r>
        <w:rPr>
          <w:rFonts w:ascii="PT Astra Serif" w:hAnsi="PT Astra Serif" w:cs="PT Astra Serif" w:eastAsia="PT Astra Serif"/>
          <w:b/>
          <w:sz w:val="26"/>
        </w:rPr>
        <w:t xml:space="preserve">изменений в решение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sz w:val="26"/>
          <w:highlight w:val="none"/>
        </w:rPr>
        <w:t xml:space="preserve">Совета депутатов Новооскольского</w:t>
      </w:r>
      <w:r>
        <w:rPr>
          <w:rFonts w:ascii="PT Astra Serif" w:hAnsi="PT Astra Serif" w:cs="PT Astra Serif" w:eastAsia="PT Astra Serif"/>
          <w:b/>
          <w:sz w:val="26"/>
          <w:highlight w:val="none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  <w:lang w:val="ru-RU" w:bidi="ru-RU" w:eastAsia="ru-RU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муниципального округа </w:t>
      </w: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Белгородской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области </w:t>
      </w:r>
      <w:r>
        <w:rPr>
          <w:rFonts w:ascii="PT Astra Serif" w:hAnsi="PT Astra Serif" w:cs="PT Astra Serif" w:eastAsia="PT Astra Serif"/>
          <w:b/>
          <w:sz w:val="26"/>
        </w:rPr>
        <w:t xml:space="preserve">от 24 сентября 2024 года № 154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соответствии с Федеральным законом от 06 октября 2003 года № 131-Ф3             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Уставом Новооскольского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Совет депутатов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/>
          <w:bCs/>
          <w:color w:val="000000"/>
          <w:spacing w:val="50"/>
          <w:sz w:val="26"/>
          <w:szCs w:val="26"/>
          <w:shd w:val="clear" w:fill="FFFFFF" w:color="auto"/>
          <w:lang w:bidi="ru-RU" w:eastAsia="ru-RU"/>
        </w:rPr>
        <w:t xml:space="preserve">решил: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Внести в решение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 от 24 сентября 2024 года № 154 «О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Реестре должностей муниципальной службы в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области» следующие изменения: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- 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подпункт 1.1.2 пункта 1.1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части первой Должности муниципальной службы для обеспечения исполнения полномочий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раздела I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Должности муниципальной службы, учреждаемые для обеспечения исполнения полномочий органов местного самоуправления,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изложить в следующей редакции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: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«1.1.2. Первый 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  <w:t xml:space="preserve">»;</w:t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color w:val="000000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- 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дополнить пунктом 1.1.9 пункт 1.1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части первой Должности муниципальной службы для обеспечения исполнения полномочий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раздела I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Должности муниципальной службы, учреждаемые для обеспечения исполнения полномочий органов местного самоуправления,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следующего содержания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:</w:t>
      </w: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«1.1.9. 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социальной политике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  <w:t xml:space="preserve">»;</w:t>
      </w:r>
      <w:r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- пункты 1.1.9, 1.1.10, 1.1.11,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1.1.12,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1.1.13,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1.1.14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считать пунктами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1.1.10, 1.1.11,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1.1.12,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1.1.13,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1.1.14, 1.1.15,</w:t>
      </w:r>
      <w:r/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соответственно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  <w:t xml:space="preserve">.</w:t>
      </w:r>
      <w:r/>
      <w:r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r>
    </w:p>
    <w:p>
      <w:pPr>
        <w:ind w:left="0" w:right="0" w:firstLine="709"/>
        <w:jc w:val="both"/>
        <w:spacing w:lineRule="exact" w:line="274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2. Рекомендовать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3. Настоящее решение вступает в силу со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дня его принятия.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9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4. Разместить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настоящее решение на официальном сайте органов местного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самоуправления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    муниципального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          округа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novyjoskol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r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31.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gosweb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gosuslugi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ru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)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информационно - телекоммуникационной сети «Интернет».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5. Контроль за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выполнением решения возложить на постоянную комиссию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по местному самоуправлению, нормативно - правовой деятельности и общественному правопорядку 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Локтионов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А.С.).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4"/>
        <w:gridCol w:w="4394"/>
      </w:tblGrid>
      <w:tr>
        <w:trPr/>
        <w:tc>
          <w:tcPr>
            <w:tcW w:w="5494" w:type="dxa"/>
            <w:textDirection w:val="lrTb"/>
            <w:noWrap w:val="false"/>
          </w:tcPr>
          <w:p>
            <w:pPr>
              <w:ind w:right="-108"/>
              <w:jc w:val="center"/>
              <w:spacing w:lineRule="exact" w:line="283"/>
              <w:rPr>
                <w:rFonts w:ascii="PT Astra Serif" w:hAnsi="PT Astra Serif" w:cs="PT Astra Serif" w:eastAsia="PT Astra Serif"/>
                <w:color w:val="00000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Председатель Совета  депутатов                                                     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Новооскольского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муниципального округа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/>
          </w:p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highlight w:val="none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                                  А.И. Попова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</w:tr>
    </w:tbl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/>
    </w:p>
    <w:p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both"/>
        <w:shd w:val="clear" w:fill="FFFFFF" w:color="auto"/>
      </w:pPr>
      <w:r>
        <w:rPr>
          <w:i/>
          <w:sz w:val="26"/>
          <w:szCs w:val="26"/>
        </w:rPr>
        <w:tab/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jc w:val="center"/>
    </w:pPr>
    <w:fldSimple w:instr="PAGE \* MERGEFORMAT">
      <w:r>
        <w:t xml:space="preserve">1</w:t>
      </w:r>
    </w:fldSimple>
    <w:r/>
    <w:r/>
  </w:p>
  <w:p>
    <w:pPr>
      <w:pStyle w:val="73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jc w:val="center"/>
    </w:pPr>
    <w:r/>
    <w:r/>
  </w:p>
  <w:p>
    <w:pPr>
      <w:pStyle w:val="73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6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5">
    <w:name w:val="Heading 1 Char"/>
    <w:basedOn w:val="883"/>
    <w:link w:val="704"/>
    <w:uiPriority w:val="9"/>
    <w:rPr>
      <w:rFonts w:ascii="Arial" w:hAnsi="Arial" w:cs="Arial" w:eastAsia="Arial"/>
      <w:sz w:val="40"/>
      <w:szCs w:val="40"/>
    </w:rPr>
  </w:style>
  <w:style w:type="paragraph" w:styleId="706">
    <w:name w:val="Heading 2"/>
    <w:basedOn w:val="882"/>
    <w:next w:val="882"/>
    <w:link w:val="70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7">
    <w:name w:val="Heading 2 Char"/>
    <w:basedOn w:val="883"/>
    <w:link w:val="706"/>
    <w:uiPriority w:val="9"/>
    <w:rPr>
      <w:rFonts w:ascii="Arial" w:hAnsi="Arial" w:cs="Arial" w:eastAsia="Arial"/>
      <w:sz w:val="34"/>
    </w:rPr>
  </w:style>
  <w:style w:type="paragraph" w:styleId="708">
    <w:name w:val="Heading 3"/>
    <w:basedOn w:val="882"/>
    <w:next w:val="882"/>
    <w:link w:val="70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9">
    <w:name w:val="Heading 3 Char"/>
    <w:basedOn w:val="883"/>
    <w:link w:val="708"/>
    <w:uiPriority w:val="9"/>
    <w:rPr>
      <w:rFonts w:ascii="Arial" w:hAnsi="Arial" w:cs="Arial" w:eastAsia="Arial"/>
      <w:sz w:val="30"/>
      <w:szCs w:val="30"/>
    </w:rPr>
  </w:style>
  <w:style w:type="paragraph" w:styleId="710">
    <w:name w:val="Heading 4"/>
    <w:basedOn w:val="882"/>
    <w:next w:val="882"/>
    <w:link w:val="71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1">
    <w:name w:val="Heading 4 Char"/>
    <w:basedOn w:val="883"/>
    <w:link w:val="710"/>
    <w:uiPriority w:val="9"/>
    <w:rPr>
      <w:rFonts w:ascii="Arial" w:hAnsi="Arial" w:cs="Arial" w:eastAsia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3">
    <w:name w:val="Heading 5 Char"/>
    <w:basedOn w:val="883"/>
    <w:link w:val="712"/>
    <w:uiPriority w:val="9"/>
    <w:rPr>
      <w:rFonts w:ascii="Arial" w:hAnsi="Arial" w:cs="Arial" w:eastAsia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5">
    <w:name w:val="Heading 6 Char"/>
    <w:basedOn w:val="883"/>
    <w:link w:val="714"/>
    <w:uiPriority w:val="9"/>
    <w:rPr>
      <w:rFonts w:ascii="Arial" w:hAnsi="Arial" w:cs="Arial" w:eastAsia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7">
    <w:name w:val="Heading 7 Char"/>
    <w:basedOn w:val="883"/>
    <w:link w:val="7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9">
    <w:name w:val="Heading 8 Char"/>
    <w:basedOn w:val="883"/>
    <w:link w:val="718"/>
    <w:uiPriority w:val="9"/>
    <w:rPr>
      <w:rFonts w:ascii="Arial" w:hAnsi="Arial" w:cs="Arial" w:eastAsia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1">
    <w:name w:val="Heading 9 Char"/>
    <w:basedOn w:val="883"/>
    <w:link w:val="720"/>
    <w:uiPriority w:val="9"/>
    <w:rPr>
      <w:rFonts w:ascii="Arial" w:hAnsi="Arial" w:cs="Arial" w:eastAsia="Arial"/>
      <w:i/>
      <w:iCs/>
      <w:sz w:val="21"/>
      <w:szCs w:val="21"/>
    </w:rPr>
  </w:style>
  <w:style w:type="paragraph" w:styleId="722">
    <w:name w:val="List Paragraph"/>
    <w:basedOn w:val="882"/>
    <w:qFormat/>
    <w:uiPriority w:val="34"/>
    <w:pPr>
      <w:contextualSpacing w:val="true"/>
      <w:ind w:left="720"/>
    </w:pPr>
  </w:style>
  <w:style w:type="paragraph" w:styleId="723">
    <w:name w:val="No Spacing"/>
    <w:qFormat/>
    <w:uiPriority w:val="1"/>
    <w:pPr>
      <w:spacing w:lineRule="auto" w:line="240" w:after="0" w:before="0"/>
    </w:pPr>
  </w:style>
  <w:style w:type="paragraph" w:styleId="724">
    <w:name w:val="Title"/>
    <w:basedOn w:val="882"/>
    <w:next w:val="882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basedOn w:val="883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basedOn w:val="883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basedOn w:val="883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basedOn w:val="883"/>
    <w:link w:val="734"/>
    <w:uiPriority w:val="99"/>
  </w:style>
  <w:style w:type="paragraph" w:styleId="736">
    <w:name w:val="Caption"/>
    <w:basedOn w:val="882"/>
    <w:next w:val="88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basedOn w:val="88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basedOn w:val="88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3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3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5" w:default="1">
    <w:name w:val="No List"/>
    <w:uiPriority w:val="99"/>
    <w:semiHidden/>
    <w:unhideWhenUsed/>
  </w:style>
  <w:style w:type="paragraph" w:styleId="886">
    <w:name w:val="Balloon Text"/>
    <w:basedOn w:val="882"/>
    <w:link w:val="887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87" w:customStyle="1">
    <w:name w:val="Текст выноски Знак"/>
    <w:basedOn w:val="883"/>
    <w:link w:val="886"/>
    <w:uiPriority w:val="99"/>
    <w:semiHidden/>
    <w:rPr>
      <w:rFonts w:ascii="Tahoma" w:hAnsi="Tahoma" w:cs="Tahoma"/>
      <w:sz w:val="16"/>
      <w:szCs w:val="16"/>
    </w:rPr>
  </w:style>
  <w:style w:type="paragraph" w:styleId="888" w:customStyle="1">
    <w:name w:val="Основной текст (4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250" w:after="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89" w:customStyle="1">
    <w:name w:val="Основной текст (5)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0" w:after="6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2022-10-11T05:41:00Z</dcterms:created>
  <dcterms:modified xsi:type="dcterms:W3CDTF">2024-12-15T10:52:31Z</dcterms:modified>
</cp:coreProperties>
</file>