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 Новооскольского городского округа,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06 </w:t>
      </w:r>
      <w:r>
        <w:rPr>
          <w:b/>
          <w:sz w:val="26"/>
          <w:szCs w:val="26"/>
        </w:rPr>
        <w:t xml:space="preserve">августа 202</w:t>
      </w:r>
      <w:r>
        <w:rPr>
          <w:b/>
          <w:sz w:val="26"/>
          <w:szCs w:val="26"/>
        </w:rPr>
        <w:t xml:space="preserve">4 года</w:t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12"/>
        <w:ind w:firstLine="708"/>
        <w:jc w:val="both"/>
      </w:pPr>
      <w:r>
        <w:t xml:space="preserve">3.  Конкурс на замещение  вакантн</w:t>
      </w:r>
      <w:r>
        <w:t xml:space="preserve">ых</w:t>
      </w:r>
      <w:r>
        <w:t xml:space="preserve"> должност</w:t>
      </w:r>
      <w:r>
        <w:t xml:space="preserve">ей</w:t>
      </w:r>
      <w:r>
        <w:t xml:space="preserve"> муниципальной службы Новооскольского городского округа</w:t>
      </w:r>
      <w:r>
        <w:t xml:space="preserve">:</w:t>
      </w:r>
      <w:r/>
    </w:p>
    <w:p>
      <w:pPr>
        <w:jc w:val="both"/>
        <w:rPr>
          <w:rFonts w:ascii="Times New Roman" w:hAnsi="Times New Roman"/>
          <w:b w:val="false"/>
          <w:i w:val="false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auto"/>
          <w:spacing w:val="0"/>
          <w:sz w:val="26"/>
          <w:szCs w:val="26"/>
        </w:rPr>
        <w:t xml:space="preserve">         </w:t>
      </w:r>
      <w:r>
        <w:rPr>
          <w:rFonts w:ascii="Times New Roman" w:hAnsi="Times New Roman"/>
          <w:b w:val="false"/>
          <w:i w:val="false"/>
          <w:color w:val="auto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pacing w:val="0"/>
          <w:sz w:val="26"/>
          <w:szCs w:val="26"/>
        </w:rPr>
        <w:t xml:space="preserve"> </w:t>
      </w:r>
      <w:r/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заместит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еля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главы Николаевской территориальной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/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-  начал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ьн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ика управления физической культуры, спорта и молодежной политики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- нача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ль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ника управления имущественных и земельных отношений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 - на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чал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ьника управления экономического развития и предпринимательства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- нач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альника  отдела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биологизации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земледелия, природопользования и экологии управле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ния сельского хозяйства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 - началь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ка отдела капитального строительства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 - начальн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ика информационно-аналитического отдела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 -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начальника отдела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 земельного контроля управления имущественных и земельных отношений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авн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социального обслуживания населения управления социальной защиты населения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главн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специалиста отдела архитектуры и городской среды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главн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специалиста отдела организационно-контрольной работы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- 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- 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специалиста отдела капитального строительства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с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пециалиста отдела правовой экспертизы правового управления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sz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муниципального контроля управления городского хозяйства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округа,</w:t>
      </w: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информационно-аналитического отдела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округа,</w:t>
      </w:r>
      <w:r>
        <w:rPr>
          <w:rFonts w:ascii="Times New Roman" w:hAnsi="Times New Roman"/>
          <w:sz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         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мобилизационного отдела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округа.</w:t>
      </w:r>
      <w:r>
        <w:rPr>
          <w:rFonts w:ascii="Times New Roman" w:hAnsi="Times New Roman"/>
          <w:sz w:val="26"/>
        </w:rPr>
      </w:r>
      <w:r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объявленн</w:t>
      </w:r>
      <w:r>
        <w:rPr>
          <w:sz w:val="26"/>
          <w:szCs w:val="26"/>
        </w:rPr>
        <w:t xml:space="preserve">ый 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 года </w:t>
      </w:r>
      <w:r>
        <w:rPr>
          <w:sz w:val="26"/>
          <w:szCs w:val="26"/>
        </w:rPr>
        <w:t xml:space="preserve">признан </w:t>
      </w:r>
      <w:r>
        <w:rPr>
          <w:sz w:val="26"/>
          <w:szCs w:val="26"/>
        </w:rPr>
        <w:t xml:space="preserve">не состоявшимся</w:t>
      </w:r>
      <w:r>
        <w:rPr>
          <w:sz w:val="26"/>
          <w:szCs w:val="26"/>
        </w:rPr>
        <w:t xml:space="preserve">.</w:t>
      </w:r>
      <w:r>
        <w:rPr>
          <w:b/>
          <w:i/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567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2"/>
    <w:semiHidden/>
    <w:rPr>
      <w:rFonts w:ascii="Tahoma" w:hAnsi="Tahoma"/>
      <w:sz w:val="16"/>
      <w:szCs w:val="16"/>
    </w:rPr>
  </w:style>
  <w:style w:type="paragraph" w:styleId="817">
    <w:name w:val="ConsPlusNonformat"/>
    <w:next w:val="817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2024-08-06T13:47:38Z</dcterms:modified>
</cp:coreProperties>
</file>