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06 </w:t>
      </w:r>
      <w:r>
        <w:rPr>
          <w:b/>
          <w:sz w:val="26"/>
          <w:szCs w:val="26"/>
        </w:rPr>
        <w:t xml:space="preserve">ноября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highlight w:val="none"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jc w:val="center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b w:val="false"/>
          <w:i w:val="false"/>
          <w:spacing w:val="0"/>
          <w:sz w:val="26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3.  Конкурс на замещение  вакантн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ых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 должност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ей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 муниципальной службы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:</w:t>
      </w: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заместит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еля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главы Николаевской территориальной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нача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на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чал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ьника управления экономического развития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нач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альника  отдела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земледелия, природопользования и экологии управле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началь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ка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начальн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ика 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социального обслуживания населения 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мобилизационного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ind w:left="0" w:right="0" w:firstLine="709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главного специалиста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объявленн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ый 14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октября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202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4 года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признан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не состоявшимся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.</w:t>
      </w: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</w:rPr>
      </w:r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2024-11-06T12:24:37Z</dcterms:modified>
</cp:coreProperties>
</file>