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 Новооскольского городского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июня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06 мая 2024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  <w:t xml:space="preserve">Главный специалист отдела </w:t>
            </w:r>
            <w:r>
              <w:rPr>
                <w:sz w:val="28"/>
                <w:szCs w:val="24"/>
                <w:highlight w:val="none"/>
              </w:rPr>
              <w:t xml:space="preserve">муниципальной службы и кадров администрации</w:t>
            </w:r>
            <w:r>
              <w:rPr>
                <w:sz w:val="28"/>
                <w:szCs w:val="24"/>
                <w:highlight w:val="none"/>
              </w:rPr>
              <w:t xml:space="preserve"> </w:t>
            </w:r>
            <w:r>
              <w:rPr>
                <w:sz w:val="28"/>
                <w:szCs w:val="24"/>
                <w:highlight w:val="none"/>
              </w:rPr>
              <w:t xml:space="preserve">Новооскольского городского округа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Полтева</w:t>
            </w:r>
            <w:r/>
          </w:p>
          <w:p>
            <w:pPr>
              <w:pStyle w:val="814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Юлия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14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Вячеславовна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2024-06-10T11:14:48Z</dcterms:modified>
</cp:coreProperties>
</file>