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 xml:space="preserve">ноября 202</w:t>
      </w:r>
      <w:r>
        <w:rPr>
          <w:b/>
          <w:sz w:val="28"/>
          <w:szCs w:val="28"/>
        </w:rPr>
        <w:t xml:space="preserve">5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объявленного </w:t>
      </w:r>
      <w:r>
        <w:rPr>
          <w:sz w:val="28"/>
          <w:szCs w:val="26"/>
        </w:rPr>
        <w:t xml:space="preserve">13 октября</w:t>
      </w:r>
      <w:r>
        <w:rPr>
          <w:sz w:val="28"/>
          <w:szCs w:val="28"/>
        </w:rPr>
        <w:t xml:space="preserve"> 2025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 социальных гарантий и информационного сопровождения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управления социальной защиты населения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Новооскольского муниципального округа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Гусева</w:t>
            </w:r>
            <w:r/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Ольга</w:t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Алексеевна</w:t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2025-11-21T07:31:54Z</dcterms:modified>
</cp:coreProperties>
</file>