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</w:t>
      </w:r>
      <w:r>
        <w:rPr>
          <w:b/>
          <w:sz w:val="28"/>
          <w:szCs w:val="28"/>
        </w:rPr>
        <w:t xml:space="preserve">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заместителя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городского хозяйства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7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управления городского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</w:t>
            </w:r>
            <w:r>
              <w:rPr>
                <w:color w:val="000000"/>
                <w:sz w:val="24"/>
                <w:szCs w:val="24"/>
              </w:rPr>
              <w:t xml:space="preserve">городского хозяйства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муниципального округа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8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60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1"/>
        <w:gridCol w:w="1997"/>
        <w:gridCol w:w="6936"/>
      </w:tblGrid>
      <w:tr>
        <w:trPr/>
        <w:tc>
          <w:tcPr>
            <w:tcW w:w="67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знанием государственного языка Российской Федерации (русского языка);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правовыми знаниями основ: 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Конституции Российской Федерации;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2 марта 2007 года № 25-ФЗ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 муниципальной службе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законодательства о противодействии коррупции;</w:t>
            </w:r>
            <w:r/>
          </w:p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закона Белгородской области от 24 сентября 2007 года № 150                     «Об особенностях организации муниципальной службы в Белгородской области». 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Бюджетный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Лесной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Водный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Воздушный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февраля 1992 года № 2395-1 «О недрах»;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июня  1998 года № 89-ФЗ «Об отходах производства и потребления»;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декабря 2001 года № 178-ФЗ «О приватизации государственного и муниципального имущества»;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27 июля 2006 года     № 152-ФЗ «О персональных данных»;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27 июля 2010 года № 210-ФЗ «Об организации предоставления государственных и муниципальных услуг»;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02 мая 2006 года № 59-ФЗ «О порядке рассмотрения обращений граждан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25 декабря 2008 года № 273-ФЗ                             «О противодействии коррупции»;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14 ноября 2002 года № 161-ФЗ                               «О государственных и муниципальных предприятиях»;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года № 601        «Об основных направлениях совершенствования системы государственного управления;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18 мая 2009 года № 559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23 июня 2014 года № 460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«Об утверждении формы справки о доходах, расходах, об имуществе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обязательствах имущественного характера и внесении изменений в некоторые акты Президента Российской Федерации».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22 декабря 2015 года № 3</w:t>
            </w:r>
            <w:r>
              <w:rPr>
                <w:sz w:val="24"/>
                <w:szCs w:val="24"/>
              </w:rPr>
              <w:t xml:space="preserve">7             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 и органами государственной власти Белгородской области»;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31 декабря 2003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 «Об особенностях оборота земель сельскохозяйственного назначения в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01 октября 2014 года               № </w:t>
            </w:r>
            <w:r>
              <w:rPr>
                <w:sz w:val="24"/>
                <w:szCs w:val="24"/>
              </w:rPr>
              <w:t xml:space="preserve">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 апреля 2015 года № 345                </w:t>
            </w:r>
            <w:r>
              <w:rPr>
                <w:sz w:val="24"/>
                <w:szCs w:val="24"/>
              </w:rPr>
              <w:t xml:space="preserve">     «Об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29 декабря 20</w:t>
            </w:r>
            <w:r>
              <w:rPr>
                <w:sz w:val="24"/>
                <w:szCs w:val="24"/>
              </w:rPr>
              <w:t xml:space="preserve">16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25 декабря 2017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главы администрации муниципального района Новооскольский район» от 05 ноября 2013 года № 1451 «Об утверждении генеральной схемы очистки города Новый Оскол»;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администрации Новооскольского городского округа от 12 июля 2019 года № 373 «Об утверждении Положения о работе с обращениями граждан и организаций в администрации Новооскольского городского округа».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г) Иные знания: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виды обращений граждан и порядок подготовки ответов на обращения граждан;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сроки рассмотрения обращений граждан.         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2 марта 2007 года № 25-ФЗ «О муниципальной службе в Российской Федерации»;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</w:t>
      </w:r>
      <w:r>
        <w:rPr>
          <w:sz w:val="24"/>
          <w:szCs w:val="24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правила пожарной безопасности;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10. Совместно со структурными подразделениями администрации Ново</w:t>
      </w:r>
      <w:r>
        <w:rPr>
          <w:sz w:val="24"/>
          <w:szCs w:val="24"/>
        </w:rPr>
        <w:t xml:space="preserve">оскольског</w:t>
      </w:r>
      <w:r>
        <w:rPr>
          <w:sz w:val="24"/>
          <w:szCs w:val="24"/>
        </w:rPr>
        <w:t xml:space="preserve">о муниципального округа, территориальными администрациями Новооскольского муниципального округа, предприятиями и организациями всех форм собственности организует разработку целевых программ по инженерному обеспечению Новооскольского 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</w:t>
      </w:r>
      <w:r>
        <w:rPr>
          <w:sz w:val="24"/>
          <w:szCs w:val="24"/>
        </w:rPr>
        <w:t xml:space="preserve">еств</w:t>
      </w:r>
      <w:r>
        <w:rPr>
          <w:sz w:val="24"/>
          <w:szCs w:val="24"/>
        </w:rPr>
        <w:t xml:space="preserve">ляет дорожную деятельность в отношении автомобильных дорог местного значения в границах Новооскольского муниципального округа и обеспечение безопасности дорожного движения на них, включая создание и обеспечение функционирования парковок (парковочных мест).</w:t>
      </w:r>
      <w:r/>
    </w:p>
    <w:p>
      <w:pPr>
        <w:pStyle w:val="878"/>
        <w:ind w:firstLine="540"/>
        <w:jc w:val="both"/>
      </w:pPr>
      <w:r>
        <w:rPr>
          <w:sz w:val="24"/>
          <w:szCs w:val="24"/>
        </w:rPr>
        <w:t xml:space="preserve">12. Осуществляет муниципальный контроль за со</w:t>
      </w:r>
      <w:r>
        <w:rPr>
          <w:sz w:val="24"/>
          <w:szCs w:val="24"/>
        </w:rPr>
        <w:t xml:space="preserve">хран</w:t>
      </w:r>
      <w:r>
        <w:rPr>
          <w:sz w:val="24"/>
          <w:szCs w:val="24"/>
        </w:rPr>
        <w:t xml:space="preserve">ностью автомобильных дорог местного значения в границах Новооскольского муниципального округа, а также осуществляет иные полномочия в области использования автомобильных дорог и дорожной деятельности в соответствии с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Создаёт условия для предоставления транспортных услуг населению и организации транспортного обслуживания населения в границах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Создает условия для массового отдыха жителей Новооскольского муниципального округа и организует обустройства мест массового отдыха населения.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Принимает участие в благоустройстве территории Новооскольского муниципального округа в соответствии с правилами благоустройства.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Принимает участие в обеспечении вып</w:t>
      </w:r>
      <w:r>
        <w:rPr>
          <w:sz w:val="24"/>
          <w:szCs w:val="24"/>
        </w:rPr>
        <w:t xml:space="preserve">олне</w:t>
      </w:r>
      <w:r>
        <w:rPr>
          <w:sz w:val="24"/>
          <w:szCs w:val="24"/>
        </w:rPr>
        <w:t xml:space="preserve">ния работ, необходимых для создания искусственных земельных участков для нужд Новооскольского муниципального округа, проведения открытого аукциона на право заключить договор о создании искусственного земельного участка в соответствии с федеральным законом.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18. Организует мероприятия по отлову и содержанию безнадзорных животных, обитающих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Разрабатывает и утверждает программы комплексного развития систем транспортной инфраструктуры Новооскольского муниципального округа, требования к которым устанавливаются Правительством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Готовит аналитическую информацию по вопросам подготовки и реализации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Участвует в подготовке проектов постановлений и распоряжений   администрации Новооскольского муниципального округа, других нормативно-правовых документов,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Разрабатывает перспективные и текущие прогнозы по основным показателям целевых программ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Контролирует ход выполнения постановлений, распоряжений, указаний и поручений главы администрации Новооскольского муниципального округа, 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Рассматривает заявления, обращения граждан и принимает по ним соответствующие решения и меры.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Вносит предложения для формирования планов закупок товаров, работ (услуг) администрации Новооскольского муниципального округа в пределах компетенции отдела.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Осуществляет контроль за подготовкой еженедельной, ежемесячной, ежеквартальной и годовой отчетности.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30. Контролирует и о</w:t>
      </w:r>
      <w:r>
        <w:rPr>
          <w:sz w:val="24"/>
          <w:szCs w:val="24"/>
        </w:rPr>
        <w:t xml:space="preserve">рган</w:t>
      </w:r>
      <w:r>
        <w:rPr>
          <w:sz w:val="24"/>
          <w:szCs w:val="24"/>
        </w:rPr>
        <w:t xml:space="preserve">изовывает разработку административных регламентов в соответствии с порядком разработки и утверждения административных регламентов предоставления муниципальных услуг отраслевыми и функциональными органами администрации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Формирует  муниципальный заказ  на перевозки пассажиров в пригородном и городском  сообщении.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Упорядочивает деятельность перевозчиков на пассажирских маршрутах.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Принимает участие в комиссионном обследовании  городских и пригородных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Участвует в разработке, организации и реализации мероприятий праздничного, тематического оформления на территории города Новый Оскол и координирует деятельности  в границах Новооскольского муниципального округа. 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5. Участвует в разработке, организации и реализации муниципальных программ в сфере благоустройства, дорожного строительства.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6. Контролирует формирование муниципальных маршрутов и ведение реестра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7. Рассматривает предложения об установлении, изменении, отмене муниципальных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8. Принимает участие в разработке графиков и расписание движения транспорта общего пользования в соответствии с потребностью населения в транспортных услугах.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9. Принимает участие в заключении муниципальных контрактов на право выполнения работ, связанных с осуществлением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40</w:t>
      </w:r>
      <w:r>
        <w:rPr>
          <w:sz w:val="24"/>
          <w:szCs w:val="24"/>
        </w:rPr>
        <w:t xml:space="preserve">. Принимает участие в проведении открытых конкурсов на право осуществления перевозок по маршрутам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1. Осуществляет контроль за выдачей свидетельств об осуществлении перевозок по маршруту регулярных перевозок, карты маршрутов регулярных перевозок, ведет реестр свидетельств и карт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2. Осуществляет контроль за исполнением перевозчиками требований нормативных правовых актов по перевозкам пассажиров и багажа и принятых договорных обязательств.</w:t>
      </w:r>
      <w:r/>
    </w:p>
    <w:p>
      <w:pPr>
        <w:pStyle w:val="8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</w:t>
      </w:r>
      <w:r>
        <w:rPr>
          <w:sz w:val="24"/>
          <w:szCs w:val="24"/>
        </w:rPr>
        <w:t xml:space="preserve">3. Разрабатывает предложения по обеспечению необходимой транспортной инфраструктуры.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4. Организует капитальный ремонт, ремонт и содержание объектов дорожного хозяйства, входящих в состав муниципальной собственности.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5. Участвует в разработке предложений и реализации мероприятий по повышению безопасности дорожного движения в соответствии с муниципальными программами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0.  Подготавливает предложения по программам, направленным на дальнейшее развитие инженерной инфраструктуры округа, в рамках инвестиционных программ строительства, реконструкции автомобильных дорог.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1. Организует, разрабатывает и выполняет мероприятия, обеспечивающие финансирование и материальное обеспечение работ по реализации целевых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2. Оказывает помощь заказчикам и подрядным организациям в реализации целевых программ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4. Осуществляет контроль за ремонтом и строительством объектов различного назначения, где заказчиком выступает управление.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6. Контролирует порядок подготовки конкурсной документации для проведения аукционов, конкурсов.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7. Контролирует работу по организации проведения конкурса на право заключения договора на пассажирские перевозки автомобильным транспортом общего пользования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8. Осуществляет контроль за подготов</w:t>
      </w:r>
      <w:r>
        <w:rPr>
          <w:sz w:val="24"/>
          <w:szCs w:val="24"/>
        </w:rPr>
        <w:t xml:space="preserve">кой документов для финансирования расходов на возмещение выпадающих доходов перевозчиков от реализации единых социальных проездных билетов, льготных билетов учащихся школ и студентов в городском пассажирском транспорте и в автобусах пригородного сообщения.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9. Участвует в организации в границах Новооскольского муниципального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0. Осуществляет в ценовых зонах теплоснабжения муниципальный контроль за выполнением единой теплоснабжающей организацией мероприятий по строительству, реконструкции и (или) модернизации объ</w:t>
      </w:r>
      <w:r>
        <w:rPr>
          <w:sz w:val="24"/>
          <w:szCs w:val="24"/>
        </w:rPr>
        <w:t xml:space="preserve">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от 27 июля 2010 года № 190-ФЗ </w:t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1. Осуществляет муниципальный жилищный контроль.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62</w:t>
      </w:r>
      <w:r>
        <w:rPr>
          <w:sz w:val="24"/>
          <w:szCs w:val="24"/>
        </w:rPr>
        <w:t xml:space="preserve">. Принимает участие в организации ритуальных услуг и содержания мест захоронения.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3. Принимает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4. Наделен полномочиями по организации теплоснабжения, предусмотренными Федеральным законом от 27 июля </w:t>
      </w:r>
      <w:r>
        <w:rPr>
          <w:sz w:val="24"/>
          <w:szCs w:val="24"/>
        </w:rPr>
        <w:t xml:space="preserve">2010 года № 190-ФЗ</w:t>
      </w:r>
      <w:r>
        <w:rPr>
          <w:sz w:val="24"/>
          <w:szCs w:val="24"/>
        </w:rPr>
        <w:t xml:space="preserve"> 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5. Наделен полномочиями в сфере водоснабжения и водоотведения, предусмотренными Федеральным законом  от 7 декабр</w:t>
      </w:r>
      <w:r>
        <w:rPr>
          <w:sz w:val="24"/>
          <w:szCs w:val="24"/>
        </w:rPr>
        <w:t xml:space="preserve">я 2011 года № 416-ФЗ                     </w:t>
      </w:r>
      <w:r>
        <w:rPr>
          <w:sz w:val="24"/>
          <w:szCs w:val="24"/>
        </w:rPr>
        <w:t xml:space="preserve">«О водоснабжении и водоотведении».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6. Участвует в разработке и утверждении программ комплексного развития систем коммунальной инфраструктуры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7. Утверждает и участвует в реализации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</w:t>
      </w:r>
      <w:r>
        <w:rPr>
          <w:sz w:val="24"/>
          <w:szCs w:val="24"/>
        </w:rPr>
        <w:t xml:space="preserve">ных </w:t>
      </w:r>
      <w:r>
        <w:rPr>
          <w:sz w:val="24"/>
          <w:szCs w:val="24"/>
        </w:rPr>
        <w:t xml:space="preserve">домов, помещения в которых составляют муниципальный жилищный фонд в границах Новооскольского муниципального округа,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8. Контролирует исполнение энергосервисных контрактов.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9. организует работу по</w:t>
      </w:r>
      <w:r>
        <w:rPr>
          <w:sz w:val="24"/>
          <w:szCs w:val="24"/>
        </w:rPr>
        <w:t xml:space="preserve">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0. Принимает участие в заключении муниципальных контрактов на право выполнения работ, связанных с оказанием услуг по техническому обслуживанию сетей наружного освещения.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1. Осуществляет контроль за ведением схемы размещения контейнеров для сбора твердых коммунальных отходов.</w:t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78"/>
        <w:ind w:firstLine="567"/>
        <w:jc w:val="both"/>
        <w:rPr>
          <w:rStyle w:val="90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08"/>
          <w:sz w:val="24"/>
          <w:szCs w:val="24"/>
        </w:rPr>
      </w:r>
      <w:r/>
    </w:p>
    <w:p>
      <w:pPr>
        <w:pStyle w:val="8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8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8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78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8</w: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link w:val="70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2">
    <w:name w:val="Heading 1 Char"/>
    <w:link w:val="701"/>
    <w:uiPriority w:val="9"/>
    <w:rPr>
      <w:rFonts w:ascii="Arial" w:hAnsi="Arial" w:cs="Arial" w:eastAsia="Arial"/>
      <w:sz w:val="40"/>
      <w:szCs w:val="40"/>
    </w:rPr>
  </w:style>
  <w:style w:type="paragraph" w:styleId="703">
    <w:name w:val="Heading 2"/>
    <w:link w:val="7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4">
    <w:name w:val="Heading 2 Char"/>
    <w:link w:val="703"/>
    <w:uiPriority w:val="9"/>
    <w:rPr>
      <w:rFonts w:ascii="Arial" w:hAnsi="Arial" w:cs="Arial" w:eastAsia="Arial"/>
      <w:sz w:val="34"/>
    </w:rPr>
  </w:style>
  <w:style w:type="paragraph" w:styleId="705">
    <w:name w:val="Heading 3"/>
    <w:link w:val="70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6">
    <w:name w:val="Heading 3 Char"/>
    <w:link w:val="705"/>
    <w:uiPriority w:val="9"/>
    <w:rPr>
      <w:rFonts w:ascii="Arial" w:hAnsi="Arial" w:cs="Arial" w:eastAsia="Arial"/>
      <w:sz w:val="30"/>
      <w:szCs w:val="30"/>
    </w:rPr>
  </w:style>
  <w:style w:type="paragraph" w:styleId="707">
    <w:name w:val="Heading 4"/>
    <w:link w:val="70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8">
    <w:name w:val="Heading 4 Char"/>
    <w:link w:val="707"/>
    <w:uiPriority w:val="9"/>
    <w:rPr>
      <w:rFonts w:ascii="Arial" w:hAnsi="Arial" w:cs="Arial" w:eastAsia="Arial"/>
      <w:b/>
      <w:bCs/>
      <w:sz w:val="26"/>
      <w:szCs w:val="26"/>
    </w:rPr>
  </w:style>
  <w:style w:type="paragraph" w:styleId="709">
    <w:name w:val="Heading 5"/>
    <w:link w:val="71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0">
    <w:name w:val="Heading 5 Char"/>
    <w:link w:val="709"/>
    <w:uiPriority w:val="9"/>
    <w:rPr>
      <w:rFonts w:ascii="Arial" w:hAnsi="Arial" w:cs="Arial" w:eastAsia="Arial"/>
      <w:b/>
      <w:bCs/>
      <w:sz w:val="24"/>
      <w:szCs w:val="24"/>
    </w:rPr>
  </w:style>
  <w:style w:type="paragraph" w:styleId="711">
    <w:name w:val="Heading 6"/>
    <w:link w:val="71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2">
    <w:name w:val="Heading 6 Char"/>
    <w:link w:val="711"/>
    <w:uiPriority w:val="9"/>
    <w:rPr>
      <w:rFonts w:ascii="Arial" w:hAnsi="Arial" w:cs="Arial" w:eastAsia="Arial"/>
      <w:b/>
      <w:bCs/>
      <w:sz w:val="22"/>
      <w:szCs w:val="22"/>
    </w:rPr>
  </w:style>
  <w:style w:type="paragraph" w:styleId="713">
    <w:name w:val="Heading 7"/>
    <w:link w:val="71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4">
    <w:name w:val="Heading 7 Char"/>
    <w:link w:val="7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5">
    <w:name w:val="Heading 8"/>
    <w:link w:val="71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6">
    <w:name w:val="Heading 8 Char"/>
    <w:link w:val="715"/>
    <w:uiPriority w:val="9"/>
    <w:rPr>
      <w:rFonts w:ascii="Arial" w:hAnsi="Arial" w:cs="Arial" w:eastAsia="Arial"/>
      <w:i/>
      <w:iCs/>
      <w:sz w:val="22"/>
      <w:szCs w:val="22"/>
    </w:rPr>
  </w:style>
  <w:style w:type="paragraph" w:styleId="717">
    <w:name w:val="Heading 9"/>
    <w:link w:val="71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8">
    <w:name w:val="Heading 9 Char"/>
    <w:link w:val="717"/>
    <w:uiPriority w:val="9"/>
    <w:rPr>
      <w:rFonts w:ascii="Arial" w:hAnsi="Arial" w:cs="Arial" w:eastAsia="Arial"/>
      <w:i/>
      <w:iCs/>
      <w:sz w:val="21"/>
      <w:szCs w:val="21"/>
    </w:rPr>
  </w:style>
  <w:style w:type="paragraph" w:styleId="719">
    <w:name w:val="List Paragraph"/>
    <w:qFormat/>
    <w:uiPriority w:val="34"/>
    <w:pPr>
      <w:contextualSpacing w:val="true"/>
      <w:ind w:left="720"/>
    </w:pPr>
  </w:style>
  <w:style w:type="paragraph" w:styleId="720">
    <w:name w:val="Title"/>
    <w:link w:val="72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link w:val="723"/>
    <w:qFormat/>
    <w:uiPriority w:val="11"/>
    <w:rPr>
      <w:sz w:val="24"/>
      <w:szCs w:val="24"/>
    </w:rPr>
    <w:pPr>
      <w:spacing w:after="200" w:before="200"/>
    </w:p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link w:val="725"/>
    <w:qFormat/>
    <w:uiPriority w:val="29"/>
    <w:rPr>
      <w:i/>
    </w:rPr>
    <w:pPr>
      <w:ind w:left="720" w:right="720"/>
    </w:p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link w:val="72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link w:val="72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link w:val="862"/>
    <w:uiPriority w:val="99"/>
    <w:semiHidden/>
    <w:unhideWhenUsed/>
    <w:rPr>
      <w:sz w:val="18"/>
    </w:rPr>
    <w:pPr>
      <w:spacing w:lineRule="auto" w:line="240" w:after="40"/>
    </w:p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link w:val="865"/>
    <w:uiPriority w:val="99"/>
    <w:semiHidden/>
    <w:unhideWhenUsed/>
    <w:rPr>
      <w:sz w:val="20"/>
    </w:rPr>
    <w:pPr>
      <w:spacing w:lineRule="auto" w:line="240" w:after="0"/>
    </w:p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uiPriority w:val="39"/>
    <w:unhideWhenUsed/>
    <w:pPr>
      <w:ind w:left="0" w:right="0" w:firstLine="0"/>
      <w:spacing w:after="57"/>
    </w:pPr>
  </w:style>
  <w:style w:type="paragraph" w:styleId="868">
    <w:name w:val="toc 2"/>
    <w:uiPriority w:val="39"/>
    <w:unhideWhenUsed/>
    <w:pPr>
      <w:ind w:left="283" w:right="0" w:firstLine="0"/>
      <w:spacing w:after="57"/>
    </w:pPr>
  </w:style>
  <w:style w:type="paragraph" w:styleId="869">
    <w:name w:val="toc 3"/>
    <w:uiPriority w:val="39"/>
    <w:unhideWhenUsed/>
    <w:pPr>
      <w:ind w:left="567" w:right="0" w:firstLine="0"/>
      <w:spacing w:after="57"/>
    </w:pPr>
  </w:style>
  <w:style w:type="paragraph" w:styleId="870">
    <w:name w:val="toc 4"/>
    <w:uiPriority w:val="39"/>
    <w:unhideWhenUsed/>
    <w:pPr>
      <w:ind w:left="850" w:right="0" w:firstLine="0"/>
      <w:spacing w:after="57"/>
    </w:pPr>
  </w:style>
  <w:style w:type="paragraph" w:styleId="871">
    <w:name w:val="toc 5"/>
    <w:uiPriority w:val="39"/>
    <w:unhideWhenUsed/>
    <w:pPr>
      <w:ind w:left="1134" w:right="0" w:firstLine="0"/>
      <w:spacing w:after="57"/>
    </w:pPr>
  </w:style>
  <w:style w:type="paragraph" w:styleId="872">
    <w:name w:val="toc 6"/>
    <w:uiPriority w:val="39"/>
    <w:unhideWhenUsed/>
    <w:pPr>
      <w:ind w:left="1417" w:right="0" w:firstLine="0"/>
      <w:spacing w:after="57"/>
    </w:pPr>
  </w:style>
  <w:style w:type="paragraph" w:styleId="873">
    <w:name w:val="toc 7"/>
    <w:uiPriority w:val="39"/>
    <w:unhideWhenUsed/>
    <w:pPr>
      <w:ind w:left="1701" w:right="0" w:firstLine="0"/>
      <w:spacing w:after="57"/>
    </w:pPr>
  </w:style>
  <w:style w:type="paragraph" w:styleId="874">
    <w:name w:val="toc 8"/>
    <w:uiPriority w:val="39"/>
    <w:unhideWhenUsed/>
    <w:pPr>
      <w:ind w:left="1984" w:right="0" w:firstLine="0"/>
      <w:spacing w:after="57"/>
    </w:pPr>
  </w:style>
  <w:style w:type="paragraph" w:styleId="875">
    <w:name w:val="toc 9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uiPriority w:val="99"/>
    <w:unhideWhenUsed/>
    <w:pPr>
      <w:spacing w:after="0" w:afterAutospacing="0"/>
    </w:pPr>
  </w:style>
  <w:style w:type="paragraph" w:styleId="878">
    <w:name w:val="Обычный"/>
    <w:next w:val="878"/>
    <w:link w:val="878"/>
    <w:rPr>
      <w:lang w:val="ru-RU" w:bidi="ar-SA" w:eastAsia="ru-RU"/>
    </w:rPr>
    <w:pPr>
      <w:widowControl w:val="off"/>
    </w:pPr>
  </w:style>
  <w:style w:type="character" w:styleId="879">
    <w:name w:val="Основной шрифт абзаца"/>
    <w:next w:val="879"/>
    <w:link w:val="878"/>
    <w:semiHidden/>
  </w:style>
  <w:style w:type="table" w:styleId="880">
    <w:name w:val="Обычная таблица"/>
    <w:next w:val="880"/>
    <w:link w:val="878"/>
    <w:semiHidden/>
    <w:tblPr/>
  </w:style>
  <w:style w:type="numbering" w:styleId="881">
    <w:name w:val="Нет списка"/>
    <w:next w:val="881"/>
    <w:link w:val="878"/>
    <w:semiHidden/>
  </w:style>
  <w:style w:type="paragraph" w:styleId="882">
    <w:name w:val="Текст выноски"/>
    <w:basedOn w:val="878"/>
    <w:next w:val="882"/>
    <w:link w:val="878"/>
    <w:semiHidden/>
    <w:rPr>
      <w:rFonts w:ascii="Tahoma" w:hAnsi="Tahoma"/>
      <w:sz w:val="16"/>
      <w:szCs w:val="16"/>
    </w:rPr>
  </w:style>
  <w:style w:type="paragraph" w:styleId="883">
    <w:name w:val="Верхний колонтитул"/>
    <w:basedOn w:val="878"/>
    <w:next w:val="883"/>
    <w:link w:val="894"/>
    <w:pPr>
      <w:tabs>
        <w:tab w:val="center" w:pos="4677" w:leader="none"/>
        <w:tab w:val="right" w:pos="9355" w:leader="none"/>
      </w:tabs>
    </w:pPr>
  </w:style>
  <w:style w:type="character" w:styleId="884">
    <w:name w:val="Номер страницы"/>
    <w:basedOn w:val="879"/>
    <w:next w:val="884"/>
    <w:link w:val="878"/>
  </w:style>
  <w:style w:type="table" w:styleId="885">
    <w:name w:val="Сетка таблицы"/>
    <w:basedOn w:val="880"/>
    <w:next w:val="885"/>
    <w:link w:val="878"/>
    <w:tblPr/>
  </w:style>
  <w:style w:type="paragraph" w:styleId="886">
    <w:name w:val="ConsPlusNormal"/>
    <w:next w:val="886"/>
    <w:link w:val="88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7">
    <w:name w:val="ConsPlusNonformat"/>
    <w:next w:val="887"/>
    <w:link w:val="878"/>
    <w:rPr>
      <w:rFonts w:ascii="Courier New" w:hAnsi="Courier New"/>
      <w:lang w:val="ru-RU" w:bidi="ar-SA" w:eastAsia="ru-RU"/>
    </w:rPr>
    <w:pPr>
      <w:widowControl w:val="off"/>
    </w:pPr>
  </w:style>
  <w:style w:type="character" w:styleId="888">
    <w:name w:val="ConsPlusNormal Знак"/>
    <w:next w:val="888"/>
    <w:link w:val="886"/>
    <w:rPr>
      <w:rFonts w:ascii="Arial" w:hAnsi="Arial"/>
      <w:lang w:val="ru-RU" w:bidi="ar-SA" w:eastAsia="ru-RU"/>
    </w:rPr>
  </w:style>
  <w:style w:type="paragraph" w:styleId="889">
    <w:name w:val="Название"/>
    <w:basedOn w:val="878"/>
    <w:next w:val="889"/>
    <w:link w:val="878"/>
    <w:rPr>
      <w:b/>
      <w:sz w:val="32"/>
    </w:rPr>
    <w:pPr>
      <w:jc w:val="center"/>
      <w:widowControl/>
    </w:pPr>
  </w:style>
  <w:style w:type="paragraph" w:styleId="890">
    <w:name w:val="Основной текст 3"/>
    <w:basedOn w:val="878"/>
    <w:next w:val="890"/>
    <w:link w:val="878"/>
    <w:rPr>
      <w:sz w:val="16"/>
      <w:szCs w:val="16"/>
    </w:rPr>
    <w:pPr>
      <w:spacing w:after="120"/>
      <w:widowControl/>
    </w:pPr>
  </w:style>
  <w:style w:type="character" w:styleId="891">
    <w:name w:val="Гиперссылка"/>
    <w:next w:val="891"/>
    <w:link w:val="878"/>
    <w:rPr>
      <w:color w:val="0000FF"/>
      <w:u w:val="single"/>
    </w:rPr>
  </w:style>
  <w:style w:type="paragraph" w:styleId="892">
    <w:name w:val="Обычный (веб)"/>
    <w:basedOn w:val="878"/>
    <w:next w:val="892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3">
    <w:name w:val="western"/>
    <w:basedOn w:val="878"/>
    <w:next w:val="893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4">
    <w:name w:val="Верхний колонтитул Знак"/>
    <w:next w:val="894"/>
    <w:link w:val="883"/>
    <w:rPr>
      <w:lang w:val="ru-RU" w:bidi="ar-SA" w:eastAsia="ru-RU"/>
    </w:rPr>
  </w:style>
  <w:style w:type="paragraph" w:styleId="895">
    <w:name w:val="Нижний колонтитул"/>
    <w:basedOn w:val="878"/>
    <w:next w:val="895"/>
    <w:link w:val="89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6">
    <w:name w:val="Нижний колонтитул Знак"/>
    <w:next w:val="896"/>
    <w:link w:val="895"/>
    <w:rPr>
      <w:sz w:val="28"/>
      <w:lang w:val="ru-RU" w:bidi="ar-SA" w:eastAsia="ru-RU"/>
    </w:rPr>
  </w:style>
  <w:style w:type="paragraph" w:styleId="897">
    <w:name w:val="Основной текст"/>
    <w:basedOn w:val="878"/>
    <w:next w:val="897"/>
    <w:link w:val="878"/>
    <w:pPr>
      <w:spacing w:after="120"/>
    </w:pPr>
  </w:style>
  <w:style w:type="paragraph" w:styleId="898">
    <w:name w:val="Основной текст с отступом"/>
    <w:basedOn w:val="878"/>
    <w:next w:val="898"/>
    <w:link w:val="878"/>
    <w:pPr>
      <w:ind w:left="283"/>
      <w:spacing w:after="120"/>
    </w:pPr>
  </w:style>
  <w:style w:type="paragraph" w:styleId="899">
    <w:name w:val="Основной текст с отступом 3"/>
    <w:basedOn w:val="878"/>
    <w:next w:val="899"/>
    <w:link w:val="878"/>
    <w:rPr>
      <w:sz w:val="16"/>
      <w:szCs w:val="16"/>
    </w:rPr>
    <w:pPr>
      <w:ind w:left="283"/>
      <w:spacing w:after="120"/>
    </w:pPr>
  </w:style>
  <w:style w:type="paragraph" w:styleId="900">
    <w:name w:val="ConsNonformat"/>
    <w:next w:val="900"/>
    <w:link w:val="87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1">
    <w:name w:val="ConsNormal"/>
    <w:next w:val="901"/>
    <w:link w:val="87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2">
    <w:name w:val="Таблицы (моноширинный)"/>
    <w:basedOn w:val="878"/>
    <w:next w:val="878"/>
    <w:link w:val="878"/>
    <w:rPr>
      <w:rFonts w:ascii="Courier New" w:hAnsi="Courier New"/>
    </w:rPr>
    <w:pPr>
      <w:jc w:val="both"/>
    </w:pPr>
  </w:style>
  <w:style w:type="character" w:styleId="903">
    <w:name w:val="Основной текст2"/>
    <w:next w:val="903"/>
    <w:link w:val="87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4">
    <w:name w:val="ConsPlusTitle"/>
    <w:next w:val="904"/>
    <w:link w:val="878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5">
    <w:name w:val="No Spacing"/>
    <w:next w:val="905"/>
    <w:link w:val="878"/>
    <w:rPr>
      <w:rFonts w:ascii="Calibri" w:hAnsi="Calibri"/>
      <w:sz w:val="22"/>
      <w:szCs w:val="22"/>
      <w:lang w:val="ru-RU" w:bidi="ar-SA" w:eastAsia="ru-RU"/>
    </w:rPr>
  </w:style>
  <w:style w:type="character" w:styleId="906">
    <w:name w:val="Font Style48"/>
    <w:next w:val="906"/>
    <w:link w:val="878"/>
    <w:rPr>
      <w:rFonts w:ascii="Times New Roman" w:hAnsi="Times New Roman"/>
      <w:b/>
      <w:bCs/>
      <w:sz w:val="26"/>
      <w:szCs w:val="26"/>
    </w:rPr>
  </w:style>
  <w:style w:type="character" w:styleId="907">
    <w:name w:val="Font Style49"/>
    <w:next w:val="907"/>
    <w:link w:val="878"/>
    <w:rPr>
      <w:rFonts w:ascii="Times New Roman" w:hAnsi="Times New Roman"/>
      <w:sz w:val="26"/>
      <w:szCs w:val="26"/>
    </w:rPr>
  </w:style>
  <w:style w:type="character" w:styleId="908">
    <w:name w:val="Font Style30"/>
    <w:next w:val="908"/>
    <w:link w:val="878"/>
    <w:rPr>
      <w:rFonts w:ascii="Times New Roman" w:hAnsi="Times New Roman"/>
      <w:sz w:val="22"/>
      <w:szCs w:val="22"/>
    </w:rPr>
  </w:style>
  <w:style w:type="character" w:styleId="909">
    <w:name w:val="Font Style29"/>
    <w:next w:val="909"/>
    <w:link w:val="878"/>
    <w:rPr>
      <w:rFonts w:ascii="Times New Roman" w:hAnsi="Times New Roman"/>
      <w:b/>
      <w:bCs/>
      <w:sz w:val="22"/>
      <w:szCs w:val="22"/>
    </w:rPr>
  </w:style>
  <w:style w:type="character" w:styleId="910" w:default="1">
    <w:name w:val="Default Paragraph Font"/>
    <w:uiPriority w:val="1"/>
    <w:semiHidden/>
    <w:unhideWhenUsed/>
  </w:style>
  <w:style w:type="numbering" w:styleId="911" w:default="1">
    <w:name w:val="No List"/>
    <w:uiPriority w:val="99"/>
    <w:semiHidden/>
    <w:unhideWhenUsed/>
  </w:style>
  <w:style w:type="paragraph" w:styleId="912" w:default="1">
    <w:name w:val="Normal"/>
    <w:qFormat/>
  </w:style>
  <w:style w:type="table" w:styleId="9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2024-11-08T06:49:16Z</dcterms:modified>
</cp:coreProperties>
</file>