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4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4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4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декабря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2024-11-08T06:33:03Z</dcterms:modified>
</cp:coreProperties>
</file>