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86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главного специалиста отдела </w:t>
      </w:r>
      <w:r>
        <w:rPr>
          <w:color w:val="000000"/>
          <w:sz w:val="24"/>
          <w:szCs w:val="24"/>
        </w:rPr>
        <w:t xml:space="preserve">капитального строительства </w:t>
      </w:r>
      <w:r>
        <w:rPr>
          <w:color w:val="000000"/>
          <w:sz w:val="24"/>
          <w:szCs w:val="24"/>
        </w:rPr>
        <w:t xml:space="preserve">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86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6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6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6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Квалификационные требования к образованию и </w:t>
      </w:r>
      <w:r>
        <w:rPr>
          <w:b/>
          <w:bCs/>
          <w:sz w:val="24"/>
          <w:szCs w:val="24"/>
        </w:rPr>
      </w:r>
      <w:r/>
    </w:p>
    <w:p>
      <w:pPr>
        <w:pStyle w:val="886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стажу (опыту) работы по специальности</w:t>
      </w:r>
      <w:r>
        <w:rPr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r>
              <w:rPr>
                <w:b/>
                <w:bCs/>
                <w:sz w:val="24"/>
                <w:szCs w:val="24"/>
              </w:rPr>
              <w:t xml:space="preserve">п/п</w:t>
            </w: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Требования к образованию и 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6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FF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</w:t>
            </w:r>
            <w:r>
              <w:rPr>
                <w:sz w:val="24"/>
                <w:szCs w:val="24"/>
              </w:rPr>
              <w:t xml:space="preserve">капитального строительства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6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FF0000"/>
                <w:sz w:val="24"/>
                <w:szCs w:val="24"/>
              </w:rPr>
            </w:r>
            <w:r/>
          </w:p>
        </w:tc>
      </w:tr>
    </w:tbl>
    <w:p>
      <w:pPr>
        <w:pStyle w:val="886"/>
        <w:jc w:val="center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>
        <w:rPr>
          <w:b/>
          <w:sz w:val="24"/>
          <w:szCs w:val="24"/>
        </w:rPr>
      </w:r>
      <w:r/>
    </w:p>
    <w:p>
      <w:pPr>
        <w:pStyle w:val="886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  </w:t>
      </w:r>
      <w:r>
        <w:rPr>
          <w:b/>
          <w:bCs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>
          <w:trHeight w:val="618"/>
        </w:trPr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b/>
                <w:bCs/>
                <w:sz w:val="24"/>
                <w:szCs w:val="24"/>
              </w:rPr>
              <w:t xml:space="preserve">п/п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Вакантная должность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558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</w:t>
            </w:r>
            <w:r>
              <w:rPr>
                <w:sz w:val="24"/>
                <w:szCs w:val="24"/>
              </w:rPr>
              <w:t xml:space="preserve">капитального строительства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86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Знание государственного языка Российской Федерации (русского языка); 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- </w:t>
            </w:r>
            <w:r>
              <w:rPr>
                <w:sz w:val="24"/>
                <w:szCs w:val="24"/>
              </w:rPr>
              <w:t xml:space="preserve">основ Конституции Российской Федерации, </w:t>
            </w:r>
            <w:r>
              <w:rPr>
                <w:bCs/>
                <w:iCs/>
                <w:sz w:val="24"/>
                <w:szCs w:val="24"/>
              </w:rPr>
              <w:t xml:space="preserve">Устава Белгородской области, Устава Новооскольского городского округа, </w:t>
            </w:r>
            <w:r>
              <w:rPr>
                <w:sz w:val="24"/>
                <w:szCs w:val="24"/>
              </w:rPr>
              <w:t xml:space="preserve">законодательства о муниципальной службе, законодательства о противодействии коррупции; 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- </w:t>
            </w:r>
            <w:r>
              <w:rPr>
                <w:sz w:val="24"/>
                <w:szCs w:val="24"/>
              </w:rPr>
              <w:t xml:space="preserve">основ делопроизводства и документооборота;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- </w:t>
            </w:r>
            <w:r>
              <w:rPr>
                <w:sz w:val="24"/>
                <w:szCs w:val="24"/>
              </w:rPr>
              <w:t xml:space="preserve">в области информационно-коммуникационных технологий: знание основ информационной безопасности и защиты информации; знание осно</w:t>
            </w:r>
            <w:r>
              <w:rPr>
                <w:sz w:val="24"/>
                <w:szCs w:val="24"/>
              </w:rPr>
              <w:t xml:space="preserve">вных положений законодательства о персональных данных; знание общих принципов функционирования системы электронного документооборота; знание основных положений законодательства об электронной подписи; знания и умения по применению персонального компьютера;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- </w:t>
            </w:r>
            <w:r>
              <w:rPr>
                <w:sz w:val="24"/>
                <w:szCs w:val="24"/>
              </w:rPr>
              <w:t xml:space="preserve"> в области проектного управления;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- </w:t>
            </w:r>
            <w:r>
              <w:rPr>
                <w:sz w:val="24"/>
                <w:szCs w:val="24"/>
              </w:rPr>
              <w:t xml:space="preserve">требования к общим умениям, св</w:t>
            </w:r>
            <w:r>
              <w:rPr>
                <w:sz w:val="24"/>
                <w:szCs w:val="24"/>
              </w:rPr>
              <w:t xml:space="preserve">идетельствующим о наличии необходимых профессиональных и личностных качеств: умение мыслить системно (стратегически); умение планировать, рационально использовать служебное время и достигать результата; коммуникативные умения; умение управлять изменениями.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капитального строительства </w:t>
            </w:r>
            <w:r>
              <w:rPr>
                <w:color w:val="000000"/>
                <w:sz w:val="24"/>
                <w:szCs w:val="24"/>
              </w:rPr>
              <w:t xml:space="preserve">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З</w:t>
            </w:r>
            <w:r>
              <w:rPr>
                <w:sz w:val="24"/>
                <w:szCs w:val="24"/>
              </w:rPr>
              <w:t xml:space="preserve">наниями в сфере законодательства Российской Федерации:</w:t>
            </w:r>
            <w:r/>
          </w:p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Гражданский кодекс Российской Федерации;</w:t>
            </w:r>
            <w:r/>
          </w:p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Земельный кодекс Российской Федерации;</w:t>
            </w:r>
            <w:r/>
          </w:p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Кодекс Российской Федерации об административных правонарушениях;</w:t>
            </w:r>
            <w:r/>
          </w:p>
          <w:p>
            <w:pPr>
              <w:pStyle w:val="886"/>
              <w:contextualSpacing w:val="true"/>
              <w:ind w:firstLine="709"/>
              <w:jc w:val="both"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Жилищный кодекс Российской Федерации;</w:t>
            </w:r>
            <w:r/>
          </w:p>
          <w:p>
            <w:pPr>
              <w:pStyle w:val="886"/>
              <w:contextualSpacing w:val="true"/>
              <w:ind w:firstLine="709"/>
              <w:jc w:val="both"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Градостроительный кодекс Российской Федерации;</w:t>
            </w:r>
            <w:r/>
          </w:p>
          <w:p>
            <w:pPr>
              <w:pStyle w:val="918"/>
              <w:ind w:left="142"/>
              <w:tabs>
                <w:tab w:val="left" w:pos="567" w:leader="none"/>
                <w:tab w:val="left" w:pos="1134" w:leader="none"/>
              </w:tabs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        - Федеральный закон от 27 июля 2010 г. № 210-ФЗ «Об организации предоставления государственных и муниципальных услуг»;</w:t>
            </w:r>
            <w:r/>
          </w:p>
          <w:p>
            <w:pPr>
              <w:pStyle w:val="918"/>
              <w:ind w:left="142"/>
              <w:tabs>
                <w:tab w:val="left" w:pos="567" w:leader="none"/>
                <w:tab w:val="left" w:pos="1134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        - </w:t>
            </w:r>
            <w:r>
              <w:rPr>
                <w:sz w:val="24"/>
                <w:szCs w:val="24"/>
                <w:lang w:val="ru-RU"/>
              </w:rPr>
              <w:t xml:space="preserve">Федеральный закон Российской Федерации от 5 апреля 2013 г. №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44-ФЗ  «О контрактной системе в сфере закупок товаров, работ, услуг для обеспечения государственных и муниципальных нужд»</w:t>
            </w:r>
            <w:r/>
          </w:p>
          <w:p>
            <w:pPr>
              <w:pStyle w:val="918"/>
              <w:ind w:left="142"/>
              <w:tabs>
                <w:tab w:val="left" w:pos="567" w:leader="none"/>
                <w:tab w:val="left" w:pos="1134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- Федеральный закон Российской Федерации от 27 июля 2006 г. №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152-ФЗ «О персональных данных»;</w:t>
            </w:r>
            <w:r/>
          </w:p>
          <w:p>
            <w:pPr>
              <w:pStyle w:val="918"/>
              <w:ind w:left="142" w:firstLine="578"/>
              <w:tabs>
                <w:tab w:val="left" w:pos="567" w:leader="none"/>
                <w:tab w:val="left" w:pos="1134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Федеральный закон от 2 мая 2006 г. № 59-ФЗ «О порядке рассмотрения обращений граждан Российской Федерации».</w:t>
            </w:r>
            <w:r/>
          </w:p>
          <w:p>
            <w:pPr>
              <w:pStyle w:val="886"/>
              <w:contextualSpacing w:val="true"/>
              <w:ind w:left="142" w:firstLine="567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- </w:t>
            </w:r>
            <w:r>
              <w:rPr>
                <w:sz w:val="24"/>
                <w:szCs w:val="24"/>
              </w:rPr>
              <w:t xml:space="preserve">Федеральный закон от 21 декабря 1994 г. № 69-ФЗ «О пожарной безопасности»;</w:t>
            </w:r>
            <w:r/>
          </w:p>
          <w:p>
            <w:pPr>
              <w:pStyle w:val="886"/>
              <w:contextualSpacing w:val="true"/>
              <w:ind w:left="142" w:firstLine="567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10 января 2002 г. № 7-ФЗ «Об охране окружающей среды»;</w:t>
            </w:r>
            <w:r/>
          </w:p>
          <w:p>
            <w:pPr>
              <w:pStyle w:val="918"/>
              <w:ind w:left="142" w:firstLine="567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- Ф</w:t>
            </w:r>
            <w:r>
              <w:rPr>
                <w:sz w:val="24"/>
                <w:szCs w:val="24"/>
                <w:lang w:val="ru-RU"/>
              </w:rPr>
              <w:t xml:space="preserve">едеральный закон от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27 декабря 2002 г. № 184−ФЗ «О техническом  регулировании»;</w:t>
            </w:r>
            <w:r>
              <w:rPr>
                <w:sz w:val="24"/>
                <w:szCs w:val="24"/>
                <w:lang w:val="ru-RU"/>
              </w:rPr>
            </w:r>
            <w:r/>
          </w:p>
          <w:p>
            <w:pPr>
              <w:pStyle w:val="886"/>
              <w:contextualSpacing w:val="true"/>
              <w:ind w:left="142" w:firstLine="567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24 июля 2008 г. № 161-ФЗ «О содействии развитию жилищного строительства»;</w:t>
            </w:r>
            <w:r/>
          </w:p>
          <w:p>
            <w:pPr>
              <w:pStyle w:val="886"/>
              <w:contextualSpacing w:val="true"/>
              <w:ind w:left="142" w:firstLine="567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30 декабря 2009 г. № 384-ФЗ «Технический регламент о безопасности зданий и сооружений»;</w:t>
            </w:r>
            <w:r/>
          </w:p>
          <w:p>
            <w:pPr>
              <w:pStyle w:val="886"/>
              <w:contextualSpacing w:val="true"/>
              <w:ind w:left="142" w:firstLine="567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Указ Президента Российской Федерации от 7 мая 2012 г. № 600 «О мерах по обеспечению граждан Российской Федерации доступным и комфортным жильем и повышению качества жилищно-коммунальных услуг»;</w:t>
            </w:r>
            <w:r/>
          </w:p>
          <w:p>
            <w:pPr>
              <w:pStyle w:val="918"/>
              <w:ind w:left="142" w:firstLine="56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Федеральным законом от 15 мая 1991 года № 1244-1 «О социальной защите граждан, подвергшихся воздействию радиации вследствие катастрофы на Чернобыльской АЭС»;</w:t>
            </w:r>
            <w:r/>
          </w:p>
          <w:p>
            <w:pPr>
              <w:pStyle w:val="918"/>
              <w:ind w:left="0" w:firstLine="70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Федеральный закон от 12 января 1995 № 5 «О ветеранах»;</w:t>
            </w:r>
            <w:r/>
          </w:p>
          <w:p>
            <w:pPr>
              <w:pStyle w:val="918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- Федеральным законом от 25 октября 2002 года № 125 «О жилищных субсидиях гражданам, выезжающим из районов Крайнего Севера и приравненным к ним местностям»</w:t>
            </w:r>
            <w:r/>
          </w:p>
          <w:p>
            <w:pPr>
              <w:pStyle w:val="886"/>
              <w:contextualSpacing w:val="true"/>
              <w:ind w:left="142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- Федеральный закон от  10 мая 2006 года  № 39 «О порядке осуществления учета граждан в качестве нуждающихся в жилых помещения, предоставляемых по договорам социального найма</w:t>
            </w:r>
            <w:r/>
          </w:p>
          <w:p>
            <w:pPr>
              <w:pStyle w:val="918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- постановление Правительства Российской Федерации от 24 ноября 2005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г. № 698 «О форме разрешения на строительство и форме разрешения на ввод объекта в эксплуатации»;</w:t>
            </w:r>
            <w:r/>
          </w:p>
          <w:p>
            <w:pPr>
              <w:pStyle w:val="918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- постановление Правительства Российской Федерации от 19 января 2006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г. № 20 «Об инженерных изысканиях для подготовки проектной документации, строительства, реконструкции объектов капительного строительства»;</w:t>
            </w:r>
            <w:r/>
          </w:p>
          <w:p>
            <w:pPr>
              <w:pStyle w:val="886"/>
              <w:contextualSpacing w:val="true"/>
              <w:ind w:left="142" w:firstLine="567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постановление Правительства Российской Федерации от 1 февраля 2006 г. № 54 «О государственном строительном надзоре в Российской Федерации»;</w:t>
            </w:r>
            <w:r/>
          </w:p>
          <w:p>
            <w:pPr>
              <w:pStyle w:val="918"/>
              <w:ind w:left="0" w:firstLine="70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постановление Правительства </w:t>
            </w:r>
            <w:r>
              <w:rPr>
                <w:bCs/>
                <w:sz w:val="24"/>
                <w:szCs w:val="24"/>
                <w:lang w:val="ru-RU"/>
              </w:rPr>
              <w:t xml:space="preserve">Российской Федерации</w:t>
            </w:r>
            <w:r>
              <w:rPr>
                <w:sz w:val="24"/>
                <w:szCs w:val="24"/>
                <w:lang w:val="ru-RU"/>
              </w:rPr>
              <w:t xml:space="preserve"> от 9 июня </w:t>
            </w:r>
            <w:r>
              <w:rPr>
                <w:sz w:val="24"/>
                <w:szCs w:val="24"/>
                <w:lang w:val="ru-RU"/>
              </w:rPr>
              <w:t xml:space="preserve">2006 г. № 363 «Об информационном обеспечении градостроительной деятельности»;</w:t>
            </w:r>
            <w:r/>
          </w:p>
          <w:p>
            <w:pPr>
              <w:pStyle w:val="918"/>
              <w:ind w:left="0" w:firstLine="70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постановление Правительства Российской Федерации от 5 марта </w:t>
            </w:r>
            <w:r>
              <w:rPr>
                <w:sz w:val="24"/>
                <w:szCs w:val="24"/>
                <w:lang w:val="ru-RU"/>
              </w:rPr>
              <w:t xml:space="preserve">2007 г. </w:t>
            </w:r>
            <w:r>
              <w:rPr>
                <w:sz w:val="24"/>
                <w:szCs w:val="24"/>
                <w:lang w:val="ru-RU"/>
              </w:rPr>
              <w:t xml:space="preserve">№ 145 «О порядке организации и проведения государственной экспертизы проектной документации и результатов инженерных изысканий».</w:t>
            </w:r>
            <w:r/>
          </w:p>
          <w:p>
            <w:pPr>
              <w:pStyle w:val="918"/>
              <w:ind w:left="0" w:firstLine="70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постановление Правительства Российской Федерации от </w:t>
            </w:r>
            <w:r>
              <w:rPr>
                <w:sz w:val="24"/>
                <w:szCs w:val="24"/>
                <w:lang w:val="ru-RU"/>
              </w:rPr>
              <w:t xml:space="preserve">25 августа </w:t>
            </w:r>
            <w:r>
              <w:rPr>
                <w:sz w:val="24"/>
                <w:szCs w:val="24"/>
                <w:lang w:val="ru-RU"/>
              </w:rPr>
              <w:t xml:space="preserve">2015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г. №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889 «Об утверждении федеральной целевой программы «Жилище на 2015-2020 годы»;</w:t>
            </w:r>
            <w:r/>
          </w:p>
          <w:p>
            <w:pPr>
              <w:pStyle w:val="918"/>
              <w:ind w:left="0" w:firstLine="70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постановление Правительства Российской Федерации от 6 </w:t>
            </w:r>
            <w:r>
              <w:rPr>
                <w:sz w:val="24"/>
                <w:szCs w:val="24"/>
                <w:lang w:val="ru-RU"/>
              </w:rPr>
              <w:t xml:space="preserve">мая </w:t>
            </w:r>
            <w:r>
              <w:rPr>
                <w:sz w:val="24"/>
                <w:szCs w:val="24"/>
                <w:lang w:val="ru-RU"/>
              </w:rPr>
              <w:t xml:space="preserve">2011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г. №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354 «О предоставлении коммунальных услуг собственникам и пользователям помещений в многоквартирных домах и жилых домов»;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- постановление Правительства Российской Федерации от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28 января 2006 года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реконструкции»;</w:t>
            </w:r>
            <w:r/>
          </w:p>
          <w:p>
            <w:pPr>
              <w:pStyle w:val="918"/>
              <w:ind w:left="0"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  - Федеральный закон от 25 декабря 2008 г. № 273-ФЗ </w:t>
            </w:r>
            <w:r>
              <w:rPr>
                <w:sz w:val="24"/>
                <w:szCs w:val="24"/>
                <w:lang w:val="ru-RU"/>
              </w:rPr>
              <w:t xml:space="preserve">         </w:t>
            </w:r>
            <w:r>
              <w:rPr>
                <w:sz w:val="24"/>
                <w:szCs w:val="24"/>
                <w:lang w:val="ru-RU"/>
              </w:rPr>
              <w:t xml:space="preserve">«О противодействии коррупции»;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- постановление Правительства Российской Федерации от 30 декабря 2017 года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Федерации».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>
              <w:rPr>
                <w:sz w:val="24"/>
                <w:szCs w:val="24"/>
              </w:rPr>
              <w:t xml:space="preserve">2) иными профессиональными знаниями:</w:t>
            </w:r>
            <w:r/>
          </w:p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 основ разработки проектно-сметной документации;</w:t>
            </w:r>
            <w:r/>
          </w:p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основ жилищных программ;</w:t>
            </w:r>
            <w:r/>
          </w:p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знание нормативно-технической документации, ГОСТ, СНиП;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- знания в области проведения строительных и ремонтных работ;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- знания об основных этапах организации строительных работ;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- понятия охраны труда в отрасли строительства;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- виды обращения граждан и порядок подготовки ответов на обращения граждан;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- порядок признания жилых помещений пригодными (не пригодными) для проживания;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- методы управления персоналом;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- понятия коррупции и конфликта интересов;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- основные меры по противодействию коррупции на муниципальной службе;</w:t>
            </w:r>
            <w:r/>
          </w:p>
          <w:p>
            <w:pPr>
              <w:pStyle w:val="886"/>
              <w:contextualSpacing w:val="true"/>
              <w:jc w:val="both"/>
              <w:widowControl/>
              <w:tabs>
                <w:tab w:val="left" w:pos="1134" w:leader="none"/>
              </w:tabs>
              <w:rPr>
                <w:rFonts w:eastAsia="Calibri"/>
                <w:bCs/>
                <w:i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           - </w:t>
            </w:r>
            <w:r>
              <w:rPr>
                <w:rFonts w:eastAsia="Calibri"/>
                <w:bCs/>
                <w:iCs/>
                <w:sz w:val="24"/>
                <w:szCs w:val="24"/>
                <w:lang w:eastAsia="en-US"/>
              </w:rPr>
              <w:t xml:space="preserve">основные направления политики государства в сфере стратегического планирования; 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iCs/>
                <w:sz w:val="24"/>
                <w:szCs w:val="24"/>
                <w:lang w:eastAsia="en-US"/>
              </w:rPr>
              <w:t xml:space="preserve">            - навыки предоставления муниципальных услуг.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</w:r>
            <w:r/>
          </w:p>
        </w:tc>
      </w:tr>
    </w:tbl>
    <w:p>
      <w:pPr>
        <w:pStyle w:val="89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>
        <w:rPr>
          <w:sz w:val="24"/>
          <w:szCs w:val="24"/>
        </w:rPr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- организует  строительство и содержание муниципального жилищного фонда;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-  создает условия для жилищного строительства, а также иных полномочий органов местного самоуправления в соответствии с жилищным законодательством;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- осуществляет в случаях, предусмотренных Градостроительным кодексом Российской Федерации осмотров зданий, сооружений и выдача рекомендаций об устранении выявленных в ходе таких осмотров нарушений;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- разрабатывает предложения администрации городского округа к программам, принимаемым федеральными и областными органами государственной власти, затрагивающим интересы округа;</w:t>
      </w:r>
      <w:r/>
    </w:p>
    <w:p>
      <w:pPr>
        <w:pStyle w:val="88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участвует в мероприятиях по формированию культуры бережливого управления в отделе капитального строительства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-участвует в подготовке предложений, проектов постановлений, распоряжений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а также справочного, итогового и информационного материала по вопросам, относящимся к компетенции  отдела;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-осуществляет контроль и несет ответственность за полноту и достоверность аналитическ</w:t>
      </w:r>
      <w:r>
        <w:rPr>
          <w:sz w:val="24"/>
          <w:szCs w:val="24"/>
        </w:rPr>
        <w:t xml:space="preserve">ой информации предоставляемой специалистами отдела главе администрации округа, заместителю главы администрации округа по строительству, транспорту и ЖКХ, начальнику отдела и структурным подразделениям администрации округа для принятия обоснованных решений;</w:t>
      </w:r>
      <w:r/>
    </w:p>
    <w:p>
      <w:pPr>
        <w:pStyle w:val="88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-принимает участие в оказании муниципальных услуг в соответствии с утвержденными регламентами;</w:t>
      </w:r>
      <w:r/>
    </w:p>
    <w:p>
      <w:pPr>
        <w:pStyle w:val="88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-подготавливает предложения по программам, направленным на дальнейшее развитие инженерной инфраструктуры городского округа в рамках инвестиционных программ строительства, реконструкции объектов газо- и электроснабжения;</w:t>
      </w:r>
      <w:r/>
    </w:p>
    <w:p>
      <w:pPr>
        <w:pStyle w:val="88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-осуществляет мониторинг за ремонтом и строительством объектов различного назначения, где заказчиком выступает администрация городского округа;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-вносит предложения для формирования планов закупок товаров, работ (услуг)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в пределах компетенции отдела;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участвует в разработке,  внедрении и поддержке проектов, реализуемых </w:t>
      </w:r>
      <w:r>
        <w:rPr>
          <w:sz w:val="24"/>
          <w:szCs w:val="24"/>
        </w:rPr>
        <w:t xml:space="preserve">Программ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инициирует, участвует в реализации областных и муниципальных проектов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рассматривает в установленном порядке письма, жалобы и заявления граждан, служебные документы, дает разъяснения и консультации по вопросам, входящим в компетенцию отдела;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выполняет иные полномочия 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Новооскольского городского округа;</w:t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1. Результативность профессиональной служебн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 округа.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3. Качество выполненных работ.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5. Количество нарушений  должностной инструкции (в том числе нарушений трудовой дисциплины).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6. Количеств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06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марта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26 марта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09 </w:t>
      </w:r>
      <w:r>
        <w:rPr>
          <w:b/>
          <w:color w:val="000000"/>
          <w:sz w:val="24"/>
          <w:szCs w:val="24"/>
        </w:rPr>
        <w:t xml:space="preserve">апреля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5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6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3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567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86"/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</w:p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6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9">
    <w:name w:val="Heading 1"/>
    <w:link w:val="71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0">
    <w:name w:val="Heading 1 Char"/>
    <w:link w:val="709"/>
    <w:uiPriority w:val="9"/>
    <w:rPr>
      <w:rFonts w:ascii="Arial" w:hAnsi="Arial" w:cs="Arial" w:eastAsia="Arial"/>
      <w:sz w:val="40"/>
      <w:szCs w:val="40"/>
    </w:rPr>
  </w:style>
  <w:style w:type="paragraph" w:styleId="711">
    <w:name w:val="Heading 2"/>
    <w:link w:val="71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2">
    <w:name w:val="Heading 2 Char"/>
    <w:link w:val="711"/>
    <w:uiPriority w:val="9"/>
    <w:rPr>
      <w:rFonts w:ascii="Arial" w:hAnsi="Arial" w:cs="Arial" w:eastAsia="Arial"/>
      <w:sz w:val="34"/>
    </w:rPr>
  </w:style>
  <w:style w:type="paragraph" w:styleId="713">
    <w:name w:val="Heading 3"/>
    <w:link w:val="71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4">
    <w:name w:val="Heading 3 Char"/>
    <w:link w:val="713"/>
    <w:uiPriority w:val="9"/>
    <w:rPr>
      <w:rFonts w:ascii="Arial" w:hAnsi="Arial" w:cs="Arial" w:eastAsia="Arial"/>
      <w:sz w:val="30"/>
      <w:szCs w:val="30"/>
    </w:rPr>
  </w:style>
  <w:style w:type="paragraph" w:styleId="715">
    <w:name w:val="Heading 4"/>
    <w:link w:val="71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6">
    <w:name w:val="Heading 4 Char"/>
    <w:link w:val="715"/>
    <w:uiPriority w:val="9"/>
    <w:rPr>
      <w:rFonts w:ascii="Arial" w:hAnsi="Arial" w:cs="Arial" w:eastAsia="Arial"/>
      <w:b/>
      <w:bCs/>
      <w:sz w:val="26"/>
      <w:szCs w:val="26"/>
    </w:rPr>
  </w:style>
  <w:style w:type="paragraph" w:styleId="717">
    <w:name w:val="Heading 5"/>
    <w:link w:val="71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8">
    <w:name w:val="Heading 5 Char"/>
    <w:link w:val="717"/>
    <w:uiPriority w:val="9"/>
    <w:rPr>
      <w:rFonts w:ascii="Arial" w:hAnsi="Arial" w:cs="Arial" w:eastAsia="Arial"/>
      <w:b/>
      <w:bCs/>
      <w:sz w:val="24"/>
      <w:szCs w:val="24"/>
    </w:rPr>
  </w:style>
  <w:style w:type="paragraph" w:styleId="719">
    <w:name w:val="Heading 6"/>
    <w:link w:val="72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0">
    <w:name w:val="Heading 6 Char"/>
    <w:link w:val="719"/>
    <w:uiPriority w:val="9"/>
    <w:rPr>
      <w:rFonts w:ascii="Arial" w:hAnsi="Arial" w:cs="Arial" w:eastAsia="Arial"/>
      <w:b/>
      <w:bCs/>
      <w:sz w:val="22"/>
      <w:szCs w:val="22"/>
    </w:rPr>
  </w:style>
  <w:style w:type="paragraph" w:styleId="721">
    <w:name w:val="Heading 7"/>
    <w:link w:val="72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2">
    <w:name w:val="Heading 7 Char"/>
    <w:link w:val="72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3">
    <w:name w:val="Heading 8"/>
    <w:link w:val="72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4">
    <w:name w:val="Heading 8 Char"/>
    <w:link w:val="723"/>
    <w:uiPriority w:val="9"/>
    <w:rPr>
      <w:rFonts w:ascii="Arial" w:hAnsi="Arial" w:cs="Arial" w:eastAsia="Arial"/>
      <w:i/>
      <w:iCs/>
      <w:sz w:val="22"/>
      <w:szCs w:val="22"/>
    </w:rPr>
  </w:style>
  <w:style w:type="paragraph" w:styleId="725">
    <w:name w:val="Heading 9"/>
    <w:link w:val="72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6">
    <w:name w:val="Heading 9 Char"/>
    <w:link w:val="725"/>
    <w:uiPriority w:val="9"/>
    <w:rPr>
      <w:rFonts w:ascii="Arial" w:hAnsi="Arial" w:cs="Arial" w:eastAsia="Arial"/>
      <w:i/>
      <w:iCs/>
      <w:sz w:val="21"/>
      <w:szCs w:val="21"/>
    </w:rPr>
  </w:style>
  <w:style w:type="paragraph" w:styleId="727">
    <w:name w:val="List Paragraph"/>
    <w:qFormat/>
    <w:uiPriority w:val="34"/>
    <w:pPr>
      <w:contextualSpacing w:val="true"/>
      <w:ind w:left="720"/>
    </w:pPr>
  </w:style>
  <w:style w:type="paragraph" w:styleId="728">
    <w:name w:val="Title"/>
    <w:link w:val="72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9">
    <w:name w:val="Title Char"/>
    <w:link w:val="728"/>
    <w:uiPriority w:val="10"/>
    <w:rPr>
      <w:sz w:val="48"/>
      <w:szCs w:val="48"/>
    </w:rPr>
  </w:style>
  <w:style w:type="paragraph" w:styleId="730">
    <w:name w:val="Subtitle"/>
    <w:link w:val="731"/>
    <w:qFormat/>
    <w:uiPriority w:val="11"/>
    <w:rPr>
      <w:sz w:val="24"/>
      <w:szCs w:val="24"/>
    </w:rPr>
    <w:pPr>
      <w:spacing w:after="200" w:before="200"/>
    </w:pPr>
  </w:style>
  <w:style w:type="character" w:styleId="731">
    <w:name w:val="Subtitle Char"/>
    <w:link w:val="730"/>
    <w:uiPriority w:val="11"/>
    <w:rPr>
      <w:sz w:val="24"/>
      <w:szCs w:val="24"/>
    </w:rPr>
  </w:style>
  <w:style w:type="paragraph" w:styleId="732">
    <w:name w:val="Quote"/>
    <w:link w:val="733"/>
    <w:qFormat/>
    <w:uiPriority w:val="29"/>
    <w:rPr>
      <w:i/>
    </w:rPr>
    <w:pPr>
      <w:ind w:left="720" w:right="720"/>
    </w:pPr>
  </w:style>
  <w:style w:type="character" w:styleId="733">
    <w:name w:val="Quote Char"/>
    <w:link w:val="732"/>
    <w:uiPriority w:val="29"/>
    <w:rPr>
      <w:i/>
    </w:rPr>
  </w:style>
  <w:style w:type="paragraph" w:styleId="734">
    <w:name w:val="Intense Quote"/>
    <w:link w:val="73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5">
    <w:name w:val="Intense Quote Char"/>
    <w:link w:val="734"/>
    <w:uiPriority w:val="30"/>
    <w:rPr>
      <w:i/>
    </w:rPr>
  </w:style>
  <w:style w:type="paragraph" w:styleId="736">
    <w:name w:val="Header"/>
    <w:link w:val="73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Header Char"/>
    <w:link w:val="736"/>
    <w:uiPriority w:val="99"/>
  </w:style>
  <w:style w:type="paragraph" w:styleId="738">
    <w:name w:val="Footer"/>
    <w:link w:val="7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9">
    <w:name w:val="Footer Char"/>
    <w:link w:val="738"/>
    <w:uiPriority w:val="99"/>
  </w:style>
  <w:style w:type="paragraph" w:styleId="74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1">
    <w:name w:val="Caption Char"/>
    <w:basedOn w:val="740"/>
    <w:link w:val="738"/>
    <w:uiPriority w:val="99"/>
  </w:style>
  <w:style w:type="table" w:styleId="74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8">
    <w:name w:val="Hyperlink"/>
    <w:uiPriority w:val="99"/>
    <w:unhideWhenUsed/>
    <w:rPr>
      <w:color w:val="0000FF" w:themeColor="hyperlink"/>
      <w:u w:val="single"/>
    </w:rPr>
  </w:style>
  <w:style w:type="paragraph" w:styleId="869">
    <w:name w:val="footnote text"/>
    <w:link w:val="870"/>
    <w:uiPriority w:val="99"/>
    <w:semiHidden/>
    <w:unhideWhenUsed/>
    <w:rPr>
      <w:sz w:val="18"/>
    </w:rPr>
    <w:pPr>
      <w:spacing w:lineRule="auto" w:line="240" w:after="40"/>
    </w:pPr>
  </w:style>
  <w:style w:type="character" w:styleId="870">
    <w:name w:val="Footnote Text Char"/>
    <w:link w:val="869"/>
    <w:uiPriority w:val="99"/>
    <w:rPr>
      <w:sz w:val="18"/>
    </w:rPr>
  </w:style>
  <w:style w:type="character" w:styleId="871">
    <w:name w:val="footnote reference"/>
    <w:uiPriority w:val="99"/>
    <w:unhideWhenUsed/>
    <w:rPr>
      <w:vertAlign w:val="superscript"/>
    </w:rPr>
  </w:style>
  <w:style w:type="paragraph" w:styleId="872">
    <w:name w:val="endnote text"/>
    <w:link w:val="873"/>
    <w:uiPriority w:val="99"/>
    <w:semiHidden/>
    <w:unhideWhenUsed/>
    <w:rPr>
      <w:sz w:val="20"/>
    </w:rPr>
    <w:pPr>
      <w:spacing w:lineRule="auto" w:line="240" w:after="0"/>
    </w:pPr>
  </w:style>
  <w:style w:type="character" w:styleId="873">
    <w:name w:val="Endnote Text Char"/>
    <w:link w:val="872"/>
    <w:uiPriority w:val="99"/>
    <w:rPr>
      <w:sz w:val="20"/>
    </w:rPr>
  </w:style>
  <w:style w:type="character" w:styleId="874">
    <w:name w:val="endnote reference"/>
    <w:uiPriority w:val="99"/>
    <w:semiHidden/>
    <w:unhideWhenUsed/>
    <w:rPr>
      <w:vertAlign w:val="superscript"/>
    </w:rPr>
  </w:style>
  <w:style w:type="paragraph" w:styleId="875">
    <w:name w:val="toc 1"/>
    <w:uiPriority w:val="39"/>
    <w:unhideWhenUsed/>
    <w:pPr>
      <w:ind w:left="0" w:right="0" w:firstLine="0"/>
      <w:spacing w:after="57"/>
    </w:pPr>
  </w:style>
  <w:style w:type="paragraph" w:styleId="876">
    <w:name w:val="toc 2"/>
    <w:uiPriority w:val="39"/>
    <w:unhideWhenUsed/>
    <w:pPr>
      <w:ind w:left="283" w:right="0" w:firstLine="0"/>
      <w:spacing w:after="57"/>
    </w:pPr>
  </w:style>
  <w:style w:type="paragraph" w:styleId="877">
    <w:name w:val="toc 3"/>
    <w:uiPriority w:val="39"/>
    <w:unhideWhenUsed/>
    <w:pPr>
      <w:ind w:left="567" w:right="0" w:firstLine="0"/>
      <w:spacing w:after="57"/>
    </w:pPr>
  </w:style>
  <w:style w:type="paragraph" w:styleId="878">
    <w:name w:val="toc 4"/>
    <w:uiPriority w:val="39"/>
    <w:unhideWhenUsed/>
    <w:pPr>
      <w:ind w:left="850" w:right="0" w:firstLine="0"/>
      <w:spacing w:after="57"/>
    </w:pPr>
  </w:style>
  <w:style w:type="paragraph" w:styleId="879">
    <w:name w:val="toc 5"/>
    <w:uiPriority w:val="39"/>
    <w:unhideWhenUsed/>
    <w:pPr>
      <w:ind w:left="1134" w:right="0" w:firstLine="0"/>
      <w:spacing w:after="57"/>
    </w:pPr>
  </w:style>
  <w:style w:type="paragraph" w:styleId="880">
    <w:name w:val="toc 6"/>
    <w:uiPriority w:val="39"/>
    <w:unhideWhenUsed/>
    <w:pPr>
      <w:ind w:left="1417" w:right="0" w:firstLine="0"/>
      <w:spacing w:after="57"/>
    </w:pPr>
  </w:style>
  <w:style w:type="paragraph" w:styleId="881">
    <w:name w:val="toc 7"/>
    <w:uiPriority w:val="39"/>
    <w:unhideWhenUsed/>
    <w:pPr>
      <w:ind w:left="1701" w:right="0" w:firstLine="0"/>
      <w:spacing w:after="57"/>
    </w:pPr>
  </w:style>
  <w:style w:type="paragraph" w:styleId="882">
    <w:name w:val="toc 8"/>
    <w:uiPriority w:val="39"/>
    <w:unhideWhenUsed/>
    <w:pPr>
      <w:ind w:left="1984" w:right="0" w:firstLine="0"/>
      <w:spacing w:after="57"/>
    </w:pPr>
  </w:style>
  <w:style w:type="paragraph" w:styleId="883">
    <w:name w:val="toc 9"/>
    <w:uiPriority w:val="39"/>
    <w:unhideWhenUsed/>
    <w:pPr>
      <w:ind w:left="2268" w:right="0" w:firstLine="0"/>
      <w:spacing w:after="57"/>
    </w:pPr>
  </w:style>
  <w:style w:type="paragraph" w:styleId="884">
    <w:name w:val="TOC Heading"/>
    <w:uiPriority w:val="39"/>
    <w:unhideWhenUsed/>
  </w:style>
  <w:style w:type="paragraph" w:styleId="885">
    <w:name w:val="table of figures"/>
    <w:uiPriority w:val="99"/>
    <w:unhideWhenUsed/>
    <w:pPr>
      <w:spacing w:after="0" w:afterAutospacing="0"/>
    </w:pPr>
  </w:style>
  <w:style w:type="paragraph" w:styleId="886">
    <w:name w:val="Обычный"/>
    <w:next w:val="886"/>
    <w:link w:val="886"/>
    <w:rPr>
      <w:lang w:val="ru-RU" w:bidi="ar-SA" w:eastAsia="ru-RU"/>
    </w:rPr>
    <w:pPr>
      <w:widowControl w:val="off"/>
    </w:pPr>
  </w:style>
  <w:style w:type="character" w:styleId="887">
    <w:name w:val="Основной шрифт абзаца"/>
    <w:next w:val="887"/>
    <w:link w:val="886"/>
    <w:semiHidden/>
  </w:style>
  <w:style w:type="table" w:styleId="888">
    <w:name w:val="Обычная таблица"/>
    <w:next w:val="888"/>
    <w:link w:val="886"/>
    <w:semiHidden/>
    <w:tblPr/>
  </w:style>
  <w:style w:type="numbering" w:styleId="889">
    <w:name w:val="Нет списка"/>
    <w:next w:val="889"/>
    <w:link w:val="886"/>
    <w:semiHidden/>
  </w:style>
  <w:style w:type="paragraph" w:styleId="890">
    <w:name w:val="Текст выноски"/>
    <w:basedOn w:val="886"/>
    <w:next w:val="890"/>
    <w:link w:val="886"/>
    <w:semiHidden/>
    <w:rPr>
      <w:rFonts w:ascii="Tahoma" w:hAnsi="Tahoma"/>
      <w:sz w:val="16"/>
      <w:szCs w:val="16"/>
    </w:rPr>
  </w:style>
  <w:style w:type="paragraph" w:styleId="891">
    <w:name w:val="Верхний колонтитул"/>
    <w:basedOn w:val="886"/>
    <w:next w:val="891"/>
    <w:link w:val="902"/>
    <w:pPr>
      <w:tabs>
        <w:tab w:val="center" w:pos="4677" w:leader="none"/>
        <w:tab w:val="right" w:pos="9355" w:leader="none"/>
      </w:tabs>
    </w:pPr>
  </w:style>
  <w:style w:type="character" w:styleId="892">
    <w:name w:val="Номер страницы"/>
    <w:basedOn w:val="887"/>
    <w:next w:val="892"/>
    <w:link w:val="886"/>
  </w:style>
  <w:style w:type="table" w:styleId="893">
    <w:name w:val="Сетка таблицы"/>
    <w:basedOn w:val="888"/>
    <w:next w:val="893"/>
    <w:link w:val="886"/>
    <w:tblPr/>
  </w:style>
  <w:style w:type="paragraph" w:styleId="894">
    <w:name w:val="ConsPlusNormal"/>
    <w:next w:val="894"/>
    <w:link w:val="89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5">
    <w:name w:val="ConsPlusNonformat"/>
    <w:next w:val="895"/>
    <w:link w:val="886"/>
    <w:rPr>
      <w:rFonts w:ascii="Courier New" w:hAnsi="Courier New"/>
      <w:lang w:val="ru-RU" w:bidi="ar-SA" w:eastAsia="ru-RU"/>
    </w:rPr>
    <w:pPr>
      <w:widowControl w:val="off"/>
    </w:pPr>
  </w:style>
  <w:style w:type="character" w:styleId="896">
    <w:name w:val="ConsPlusNormal Знак"/>
    <w:next w:val="896"/>
    <w:link w:val="894"/>
    <w:rPr>
      <w:rFonts w:ascii="Arial" w:hAnsi="Arial"/>
      <w:lang w:val="ru-RU" w:bidi="ar-SA" w:eastAsia="ru-RU"/>
    </w:rPr>
  </w:style>
  <w:style w:type="paragraph" w:styleId="897">
    <w:name w:val="Название"/>
    <w:basedOn w:val="886"/>
    <w:next w:val="897"/>
    <w:link w:val="886"/>
    <w:rPr>
      <w:b/>
      <w:sz w:val="32"/>
    </w:rPr>
    <w:pPr>
      <w:jc w:val="center"/>
      <w:widowControl/>
    </w:pPr>
  </w:style>
  <w:style w:type="paragraph" w:styleId="898">
    <w:name w:val="Основной текст 3"/>
    <w:basedOn w:val="886"/>
    <w:next w:val="898"/>
    <w:link w:val="920"/>
    <w:rPr>
      <w:sz w:val="16"/>
      <w:szCs w:val="16"/>
    </w:rPr>
    <w:pPr>
      <w:spacing w:after="120"/>
      <w:widowControl/>
    </w:pPr>
  </w:style>
  <w:style w:type="character" w:styleId="899">
    <w:name w:val="Гиперссылка"/>
    <w:next w:val="899"/>
    <w:link w:val="886"/>
    <w:rPr>
      <w:color w:val="0000FF"/>
      <w:u w:val="single"/>
    </w:rPr>
  </w:style>
  <w:style w:type="paragraph" w:styleId="900">
    <w:name w:val="Обычный (веб)"/>
    <w:basedOn w:val="886"/>
    <w:next w:val="900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1">
    <w:name w:val="western"/>
    <w:basedOn w:val="886"/>
    <w:next w:val="901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2">
    <w:name w:val="Верхний колонтитул Знак"/>
    <w:next w:val="902"/>
    <w:link w:val="891"/>
    <w:rPr>
      <w:lang w:val="ru-RU" w:bidi="ar-SA" w:eastAsia="ru-RU"/>
    </w:rPr>
  </w:style>
  <w:style w:type="paragraph" w:styleId="903">
    <w:name w:val="Нижний колонтитул"/>
    <w:basedOn w:val="886"/>
    <w:next w:val="903"/>
    <w:link w:val="90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4">
    <w:name w:val="Нижний колонтитул Знак"/>
    <w:next w:val="904"/>
    <w:link w:val="903"/>
    <w:rPr>
      <w:sz w:val="28"/>
      <w:lang w:val="ru-RU" w:bidi="ar-SA" w:eastAsia="ru-RU"/>
    </w:rPr>
  </w:style>
  <w:style w:type="paragraph" w:styleId="905">
    <w:name w:val="Основной текст"/>
    <w:basedOn w:val="886"/>
    <w:next w:val="905"/>
    <w:link w:val="886"/>
    <w:pPr>
      <w:spacing w:after="120"/>
    </w:pPr>
  </w:style>
  <w:style w:type="paragraph" w:styleId="906">
    <w:name w:val="Основной текст с отступом"/>
    <w:basedOn w:val="886"/>
    <w:next w:val="906"/>
    <w:link w:val="886"/>
    <w:pPr>
      <w:ind w:left="283"/>
      <w:spacing w:after="120"/>
    </w:pPr>
  </w:style>
  <w:style w:type="paragraph" w:styleId="907">
    <w:name w:val="Основной текст с отступом 3"/>
    <w:basedOn w:val="886"/>
    <w:next w:val="907"/>
    <w:link w:val="886"/>
    <w:rPr>
      <w:sz w:val="16"/>
      <w:szCs w:val="16"/>
    </w:rPr>
    <w:pPr>
      <w:ind w:left="283"/>
      <w:spacing w:after="120"/>
    </w:pPr>
  </w:style>
  <w:style w:type="paragraph" w:styleId="908">
    <w:name w:val="ConsNonformat"/>
    <w:next w:val="908"/>
    <w:link w:val="88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9">
    <w:name w:val="ConsNormal"/>
    <w:next w:val="909"/>
    <w:link w:val="88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0">
    <w:name w:val="Таблицы (моноширинный)"/>
    <w:basedOn w:val="886"/>
    <w:next w:val="886"/>
    <w:link w:val="886"/>
    <w:rPr>
      <w:rFonts w:ascii="Courier New" w:hAnsi="Courier New"/>
    </w:rPr>
    <w:pPr>
      <w:jc w:val="both"/>
    </w:pPr>
  </w:style>
  <w:style w:type="character" w:styleId="911">
    <w:name w:val="Основной текст2"/>
    <w:next w:val="911"/>
    <w:link w:val="88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2">
    <w:name w:val="Абзац списка2"/>
    <w:basedOn w:val="886"/>
    <w:next w:val="912"/>
    <w:link w:val="886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13">
    <w:name w:val="No Spacing"/>
    <w:next w:val="913"/>
    <w:link w:val="886"/>
    <w:rPr>
      <w:rFonts w:ascii="Calibri" w:hAnsi="Calibri"/>
      <w:sz w:val="22"/>
      <w:szCs w:val="22"/>
      <w:lang w:val="ru-RU" w:bidi="ar-SA" w:eastAsia="ru-RU"/>
    </w:rPr>
  </w:style>
  <w:style w:type="character" w:styleId="914">
    <w:name w:val="Font Style48"/>
    <w:next w:val="914"/>
    <w:link w:val="886"/>
    <w:rPr>
      <w:rFonts w:ascii="Times New Roman" w:hAnsi="Times New Roman"/>
      <w:b/>
      <w:bCs/>
      <w:sz w:val="26"/>
      <w:szCs w:val="26"/>
    </w:rPr>
  </w:style>
  <w:style w:type="character" w:styleId="915">
    <w:name w:val="Font Style49"/>
    <w:next w:val="915"/>
    <w:link w:val="886"/>
    <w:rPr>
      <w:rFonts w:ascii="Times New Roman" w:hAnsi="Times New Roman"/>
      <w:sz w:val="26"/>
      <w:szCs w:val="26"/>
    </w:rPr>
  </w:style>
  <w:style w:type="character" w:styleId="916">
    <w:name w:val="Font Style30"/>
    <w:next w:val="916"/>
    <w:link w:val="886"/>
    <w:rPr>
      <w:rFonts w:ascii="Times New Roman" w:hAnsi="Times New Roman"/>
      <w:sz w:val="22"/>
      <w:szCs w:val="22"/>
    </w:rPr>
  </w:style>
  <w:style w:type="character" w:styleId="917">
    <w:name w:val="Font Style29"/>
    <w:next w:val="917"/>
    <w:link w:val="886"/>
    <w:rPr>
      <w:rFonts w:ascii="Times New Roman" w:hAnsi="Times New Roman"/>
      <w:b/>
      <w:bCs/>
      <w:sz w:val="22"/>
      <w:szCs w:val="22"/>
    </w:rPr>
  </w:style>
  <w:style w:type="paragraph" w:styleId="918">
    <w:name w:val="Абзац списка"/>
    <w:basedOn w:val="886"/>
    <w:next w:val="918"/>
    <w:link w:val="919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19">
    <w:name w:val="Абзац списка Знак"/>
    <w:next w:val="919"/>
    <w:link w:val="918"/>
    <w:rPr>
      <w:sz w:val="24"/>
      <w:szCs w:val="22"/>
      <w:lang w:val="en-US" w:bidi="en-US" w:eastAsia="en-US"/>
    </w:rPr>
  </w:style>
  <w:style w:type="character" w:styleId="920">
    <w:name w:val="Основной текст 3 Знак"/>
    <w:next w:val="920"/>
    <w:link w:val="898"/>
    <w:rPr>
      <w:sz w:val="16"/>
      <w:szCs w:val="16"/>
    </w:rPr>
  </w:style>
  <w:style w:type="character" w:styleId="921" w:default="1">
    <w:name w:val="Default Paragraph Font"/>
    <w:uiPriority w:val="1"/>
    <w:semiHidden/>
    <w:unhideWhenUsed/>
  </w:style>
  <w:style w:type="numbering" w:styleId="922" w:default="1">
    <w:name w:val="No List"/>
    <w:uiPriority w:val="99"/>
    <w:semiHidden/>
    <w:unhideWhenUsed/>
  </w:style>
  <w:style w:type="paragraph" w:styleId="923" w:default="1">
    <w:name w:val="Normal"/>
    <w:qFormat/>
  </w:style>
  <w:style w:type="table" w:styleId="92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21</cp:revision>
  <dcterms:modified xsi:type="dcterms:W3CDTF">2025-03-05T07:25:42Z</dcterms:modified>
</cp:coreProperties>
</file>