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2025-03-05T07:25:15Z</dcterms:modified>
</cp:coreProperties>
</file>