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6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6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6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6"/>
        <w:ind w:firstLine="709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6"/>
          <w:sz w:val="24"/>
          <w:szCs w:val="24"/>
        </w:rPr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5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paragraph" w:styleId="930" w:default="1">
    <w:name w:val="Normal"/>
    <w:qFormat/>
  </w:style>
  <w:style w:type="table" w:styleId="93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2025-03-05T07:19:11Z</dcterms:modified>
</cp:coreProperties>
</file>