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2025-03-05T07:45:26Z</dcterms:modified>
</cp:coreProperties>
</file>