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</w:rPr>
        <w:t xml:space="preserve">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8"/>
        </w:rPr>
        <w:t xml:space="preserve">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2025-03-05T07:50:02Z</dcterms:modified>
</cp:coreProperties>
</file>