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2025-03-05T07:45:43Z</dcterms:modified>
</cp:coreProperties>
</file>