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/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sz w:val="24"/>
          <w:szCs w:val="28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sz w:val="24"/>
          <w:szCs w:val="28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sz w:val="24"/>
          <w:szCs w:val="28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sz w:val="24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</w:rPr>
        <w:t xml:space="preserve">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sz w:val="24"/>
          <w:szCs w:val="28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sz w:val="24"/>
          <w:szCs w:val="28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sz w:val="24"/>
          <w:szCs w:val="28"/>
        </w:rPr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/>
      <w:r>
        <w:rPr>
          <w:sz w:val="24"/>
          <w:szCs w:val="28"/>
        </w:rPr>
        <w:t xml:space="preserve">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2024-10-14T10:48:26Z</dcterms:modified>
</cp:coreProperties>
</file>