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</w:t>
      </w:r>
      <w:r>
        <w:rPr>
          <w:sz w:val="24"/>
          <w:szCs w:val="24"/>
        </w:rPr>
        <w:t xml:space="preserve"> отдела </w:t>
      </w:r>
      <w:r>
        <w:rPr>
          <w:sz w:val="24"/>
          <w:szCs w:val="24"/>
        </w:rPr>
        <w:t xml:space="preserve">социального обслуживания населения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9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42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0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0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проводит информационно-разъяснительную работу об организации социального обслуживания и порядках предоставления социальных услуг;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осуществляет прием граждан по вопросам назначения выплат, осуществляемых отделом, производит сверку документов и на основании этой сверки заверяет копии документов;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формирует и направляет запросы в установленном порядке в государственные органы, предприятия</w:t>
      </w:r>
      <w:r>
        <w:rPr>
          <w:sz w:val="24"/>
          <w:szCs w:val="24"/>
        </w:rPr>
        <w:t xml:space="preserve">, учреждения, организации, общественные объединения, другие функциональные органы и структурные подразделения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о предоставлении сведений и информации, необходимых для исполнения своих должностных обязанностей;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устанавливает право заявителя на наз</w:t>
      </w:r>
      <w:r>
        <w:rPr>
          <w:sz w:val="24"/>
          <w:szCs w:val="24"/>
        </w:rPr>
        <w:t xml:space="preserve">начение осуществляемой выплаты и готовит проект решения о назначении/отказе в назначении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производит назначение и выплату: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ежегодной денежной выплаты Почетным донорам СССР и Почетным донорам России;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ежемесячного пособия Героям Советского Союза, Героям Российской Федерации, Героям</w:t>
      </w:r>
      <w:r>
        <w:rPr>
          <w:sz w:val="24"/>
          <w:szCs w:val="24"/>
        </w:rPr>
        <w:t xml:space="preserve"> Социалистического Труда, полным кавалерам ордена Трудовой Славы, вдовам Героев Социалистического Труда и полных кавалеров ордена Трудовой Славы; лицам, привлекавшимся органами местной власти к разминированию территорий и объектов в период с 1943-1950 гг.;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компенсаций гражданам, подвергшимся воздействию радиации вследствие катастрофы на ЧАЭС, аварии на ПО «Маяк», ядерных испы</w:t>
      </w:r>
      <w:r>
        <w:rPr>
          <w:sz w:val="24"/>
          <w:szCs w:val="24"/>
        </w:rPr>
        <w:t xml:space="preserve">таний на Семипалатинском полигоне, ветеранам подразделений особого риска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  <w:r/>
    </w:p>
    <w:p>
      <w:pPr>
        <w:pStyle w:val="890"/>
        <w:jc w:val="both"/>
        <w:tabs>
          <w:tab w:val="left" w:pos="9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ежемесячной денежной выплаты лицам, родившимся в период с 22 июня 1923 года по 3 сентября 1945 года (Дети войны);</w:t>
      </w:r>
      <w:r/>
    </w:p>
    <w:p>
      <w:pPr>
        <w:pStyle w:val="890"/>
        <w:jc w:val="both"/>
        <w:tabs>
          <w:tab w:val="left" w:pos="9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вносит в автоматизированную систему «Адресная социальная помощь» изменения признаков учета, способа выплаты, лицевых счетов получателей и другую информацию, имеющую значения для предоставления социальных услуг и мер социальной поддержки;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реестры получателей и потребность в денежных средствах на осуществляемые выплаты на очередной месяц;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ежемесячные заявки на перечисление средств на осуществляемые 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по око</w:t>
      </w:r>
      <w:r>
        <w:rPr>
          <w:sz w:val="24"/>
          <w:szCs w:val="24"/>
        </w:rPr>
        <w:t xml:space="preserve">нчании выплатного периода и получении отчетов доставочных организаций выполняет сверку неоплаты по количеству получателей, осуществляемых выплат и сумме, составляет акты сверки расчетов по выплатам с кредитными организациями и организациями почтовой связи;</w:t>
      </w:r>
      <w:r/>
    </w:p>
    <w:p>
      <w:pPr>
        <w:pStyle w:val="890"/>
        <w:jc w:val="both"/>
        <w:tabs>
          <w:tab w:val="left" w:pos="100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осуществляет проверку и анализ документо</w:t>
      </w:r>
      <w:r>
        <w:rPr>
          <w:sz w:val="24"/>
          <w:szCs w:val="24"/>
        </w:rPr>
        <w:t xml:space="preserve">в, представленных гражданином и полученных (представленных) документов (сведений) в рамках межведомственного информационного взаимодействия, для установления наличия (отсутствия) обстоятельств, которые ухудшают или могут ухудшить условия жизнедеятельности;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выявляет обстоятельства ухудшающие условия жизнедеятельности гражданина путем организации обследований его материально-бытового положения по месту жительства (фактического пребывания) с целью признания нуждающимся в предоставлении социальных услуг;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организует посредничество между гражданином, нуждающимся в предоставлении социальных услуг или мер социальной поддержки, и различными специалистами (учреждениями) с целью представления интересов гражданина и решения его социальных проблем;</w:t>
      </w:r>
      <w:r/>
    </w:p>
    <w:p>
      <w:pPr>
        <w:pStyle w:val="890"/>
        <w:jc w:val="both"/>
        <w:tabs>
          <w:tab w:val="left" w:pos="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ведет </w:t>
      </w:r>
      <w:r>
        <w:rPr>
          <w:sz w:val="24"/>
          <w:szCs w:val="24"/>
        </w:rPr>
        <w:t xml:space="preserve">муниципальные сегменты реестра поставщиков социальных услуг и регистра получателей социальных услуг;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9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личные дела получателей социальных услуг и мер социальной поддержки;</w:t>
      </w:r>
      <w:r/>
    </w:p>
    <w:p>
      <w:pPr>
        <w:pStyle w:val="890"/>
        <w:jc w:val="both"/>
        <w:tabs>
          <w:tab w:val="left" w:pos="112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принимает участие в работе по проведению инвентаризации личных дел получателей;</w:t>
      </w:r>
      <w:r/>
    </w:p>
    <w:p>
      <w:pPr>
        <w:pStyle w:val="890"/>
        <w:jc w:val="both"/>
        <w:tabs>
          <w:tab w:val="left" w:pos="99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оформляет и выдает удостоверения лицам, родившимся в период с 22 июня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1923 года по 3 сентября 1945 года (Дети войны), проживающим на территории Белгородской области;</w:t>
      </w:r>
      <w:r/>
    </w:p>
    <w:p>
      <w:pPr>
        <w:pStyle w:val="890"/>
        <w:jc w:val="both"/>
        <w:tabs>
          <w:tab w:val="left" w:pos="9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осуществляет прием заявлений граждан и документов для рассмотрения комиссией при Губернаторе Белгородской области вопроса о присвоении звания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Ветеран труда», о выдачи дубликатов удостоверений «Ветеран труда» и выдачу удостоверений «Ветеран труда», дубликатов удостоверений;</w:t>
      </w:r>
      <w:r/>
    </w:p>
    <w:p>
      <w:pPr>
        <w:pStyle w:val="890"/>
        <w:jc w:val="both"/>
        <w:tabs>
          <w:tab w:val="left" w:pos="9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оказывает содействие некоммерческим общественным организациям Новооскольского городского округа в реализации социальных программ по защите ветеранов, пенсионеров, инвалидов;</w:t>
      </w:r>
      <w:r/>
    </w:p>
    <w:p>
      <w:pPr>
        <w:pStyle w:val="890"/>
        <w:jc w:val="both"/>
        <w:tabs>
          <w:tab w:val="left" w:pos="11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рассматривает в установленном порядке письма, обращения граждан, служебные документы, исполняет приказы, распоряжения и указания ид нестоящих, в порядке подчиненности, руководителей.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0"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"/>
  </w:num>
  <w:num w:numId="5">
    <w:abstractNumId w:val="12"/>
  </w:num>
  <w:num w:numId="6">
    <w:abstractNumId w:val="3"/>
  </w:num>
  <w:num w:numId="7">
    <w:abstractNumId w:val="13"/>
  </w:num>
  <w:num w:numId="8">
    <w:abstractNumId w:val="7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6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7"/>
  </w:num>
  <w:num w:numId="18">
    <w:abstractNumId w:val="14"/>
  </w:num>
  <w:num w:numId="19">
    <w:abstractNumId w:val="18"/>
  </w:num>
  <w:num w:numId="20">
    <w:abstractNumId w:val="5"/>
  </w:num>
  <w:num w:numId="21">
    <w:abstractNumId w:val="8"/>
  </w:num>
  <w:num w:numId="22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2024-10-14T07:45:12Z</dcterms:modified>
</cp:coreProperties>
</file>