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/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6"/>
        <w:ind w:left="0" w:right="0" w:firstLine="567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6"/>
          <w:sz w:val="24"/>
          <w:szCs w:val="24"/>
        </w:rPr>
      </w:r>
      <w:r/>
    </w:p>
    <w:p>
      <w:pPr>
        <w:pStyle w:val="905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9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6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paragraph" w:styleId="928">
    <w:name w:val="Абзац списка"/>
    <w:basedOn w:val="896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2024-10-14T12:27:30Z</dcterms:modified>
</cp:coreProperties>
</file>