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способность предлагать новаторские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руководствоваться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выполнять отдельные функции в проекте;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правовых аспектов в области ИКТ и </w:t>
            </w:r>
            <w:r>
              <w:rPr>
                <w:sz w:val="24"/>
                <w:szCs w:val="24"/>
                <w:lang w:eastAsia="en-US"/>
              </w:rPr>
              <w:t xml:space="preserve">ИБ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, программных документов и приоритетов государственной политики в области ИКТ и </w:t>
            </w:r>
            <w:r>
              <w:rPr>
                <w:sz w:val="24"/>
                <w:szCs w:val="24"/>
                <w:lang w:eastAsia="en-US"/>
              </w:rPr>
              <w:t xml:space="preserve">ИБ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, правовых аспектов в сфере предоставления государственных услуг населению и организациям посредством применения ИКТ;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навыки стратегического планирования и управления групповой деятельностью с учетом возможностей и особенностей применения современных ИКТ в органах государственной власти, государственных органах области, работы с системами управления проектами.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rStyle w:val="916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2024-10-14T07:51:10Z</dcterms:modified>
</cp:coreProperties>
</file>