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округа.</w:t>
      </w:r>
      <w:r>
        <w:rPr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2025-01-20T07:45:50Z</dcterms:modified>
</cp:coreProperties>
</file>