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2025-01-20T08:00:55Z</dcterms:modified>
</cp:coreProperties>
</file>