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округа.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/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2) правовыми знаниями основ: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а) Конституции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б) Федерального закона от 6 октября 2003 года № 131-ФЗ                  «Об общих принципах организации местного самоуправления в Российской Федерации»;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в)</w:t>
            </w:r>
            <w:r>
              <w:rPr>
                <w:sz w:val="24"/>
                <w:szCs w:val="28"/>
                <w:lang w:bidi="ru-RU"/>
              </w:rPr>
              <w:t xml:space="preserve">.</w:t>
            </w:r>
            <w:r>
              <w:rPr>
                <w:sz w:val="24"/>
                <w:szCs w:val="28"/>
                <w:lang w:bidi="ru-RU"/>
              </w:rPr>
              <w:t xml:space="preserve">Федерального закона от 2 марта 2007 года № 25-ФЗ                         «О муниципальной службе в Российской Федерации»;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г) законодательства о противодействии коррупции;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д) закона Белгородской области от 24 сентября 2007 года № 150 «Об особенностях организации муниципальной</w:t>
            </w:r>
            <w:r>
              <w:rPr>
                <w:sz w:val="24"/>
                <w:szCs w:val="28"/>
                <w:lang w:bidi="ru-RU"/>
              </w:rPr>
              <w:t xml:space="preserve"> службы                              в Белгородской области».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/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а) Федеральные законы и иные федеральные нормативные правовые акты: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709" w:right="0" w:hanging="709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Земельный кодекс Российской Федерации;</w:t>
            </w:r>
            <w:r>
              <w:rPr>
                <w:sz w:val="24"/>
                <w:szCs w:val="28"/>
                <w:lang w:val="ru-RU"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Градостроительный кодекс Российской Федерации; </w:t>
            </w:r>
            <w:r>
              <w:rPr>
                <w:sz w:val="24"/>
                <w:szCs w:val="28"/>
                <w:lang w:val="ru-RU"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Жилищный кодекс Российской Федерации;</w:t>
            </w:r>
            <w:r>
              <w:rPr>
                <w:sz w:val="24"/>
                <w:szCs w:val="28"/>
                <w:lang w:val="ru-RU"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Налоговый кодекс Российской Федерации;</w:t>
            </w:r>
            <w:r>
              <w:rPr>
                <w:sz w:val="24"/>
                <w:szCs w:val="28"/>
                <w:lang w:val="ru-RU"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Гражданский кодекс Российской Федерации;</w:t>
            </w:r>
            <w:r>
              <w:rPr>
                <w:sz w:val="24"/>
                <w:szCs w:val="28"/>
                <w:lang w:val="ru-RU"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Трудовой кодекс Российской Федерации;</w:t>
            </w:r>
            <w:r>
              <w:rPr>
                <w:sz w:val="24"/>
                <w:szCs w:val="28"/>
                <w:lang w:val="ru-RU"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Водный кодекс Российской Федерации;</w:t>
            </w:r>
            <w:r>
              <w:rPr>
                <w:sz w:val="24"/>
                <w:szCs w:val="28"/>
                <w:lang w:val="ru-RU"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10 января 2002 года № 7-ФЗ «Об охране окружающей среды»;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14 марта 1995 года № 33-ФЗ «Об особо охраняемых природных территориях»;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 мая 2006 года № 59-ФЗ «О порядке рассмотрения обращений граждан Российской Федерации»;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Российской Федерации от 2 марта 2007 года № 25-ФЗ «О муниципальной службе в Российской Федерации»;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27 июля 2010 года № 210-ФЗ                          «Об организации предоставления государственных и муниципальных услуг»;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7 мая 2012 года                 № 601 «Об основных направлениях совершенствования систе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мы государственного управления»;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24 июля 2002 года № 101-ФЗ «Об обороте земель сельскохозяйственного назначения»;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декабря 2004 года № 172-ФЗ                        «О переводе земель или земельных участков из одной категории в другую»;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24 июля 2007 года № 221-ФЗ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                           «О кадастровой деятельности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18 июня 2001 года № 78-ФЗ                              «О землеустройстве»;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19 июля 2011 года № 246-ФЗ                            «Об искусственных земельных участках, созданных на водных объектах, находящихся в федеральной собственности,                          и о внесении изменений в отдельные законодательные акты Российской Федерации»;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25 декабря 2008 года № 273-ФЗ                         «О противодействии коррупции»;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17 июля 2009 года № 172-ФЗ                           «Об антикоррупционной экспертизе нормативных правовых актов и проектов нормативных правовых актов»;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12 января 1996 года № 7-ФЗ                               «О некоммерческих организациях»;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9 февраля 2009 года № 8-ФЗ                           «Об обеспечении доступа к информации о деятельности государственных органов и органов местного самоуправления»;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25 февраля 1999 года № 39-ФЗ   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июля 1997 года № 117-ФЗ                               «О безопасности гидротехнических сооружений»;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декабря 2001 года № 178-ФЗ                       «О приватизации государственного и муниципального имущества»;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14 ноября 2002 года № 161-ФЗ                         «О государственных и муниципальных унитарных предприятиях»;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резидента Российской Федерации от 23 июня 2014 года  № 460 «Об утверждении формы справки о доходах, расходах, об имуществе и обязательствах имущественного характера                       и внесении изменений в некоторые акты Президента Российской Федерации»;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12 августа 2002 года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       № 885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«Об утверждении общих принципов служебного поведения государственных служащих»;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8 июля 2013 года               № 613 «Вопросы противодействия коррупции»;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РФ от 15 июля 2015 года № 364 «О мерах по совершенствованию организации деятельности в области прот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иводействия коррупции».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б) 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аконы и иные нормативные правовые акты Белгородской области: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 от 10 июля 2007 год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 № 133                 (ред. от 03.07.2018 г.)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«О регулировании градостроительной деятельности в Белгородской области»;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ти от 22 декабря 2015 года № 37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и органами государственной власти Белгородской области»;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 от 01 октя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бря 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 на территории Белгородской области»;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от 29 декабря 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деятельности».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/>
              </w:rPr>
            </w:r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</w:t>
      </w:r>
      <w:r>
        <w:rPr>
          <w:rFonts w:ascii="Times New Roman" w:hAnsi="Times New Roman"/>
          <w:sz w:val="24"/>
          <w:szCs w:val="28"/>
        </w:rPr>
        <w:t xml:space="preserve">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и другими федеральными законами.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</w:t>
      </w:r>
      <w:r>
        <w:rPr>
          <w:rFonts w:ascii="Times New Roman" w:hAnsi="Times New Roman"/>
          <w:sz w:val="24"/>
          <w:szCs w:val="28"/>
        </w:rPr>
        <w:t xml:space="preserve">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</w:t>
      </w:r>
      <w:r>
        <w:rPr>
          <w:rFonts w:ascii="Times New Roman" w:hAnsi="Times New Roman"/>
          <w:sz w:val="24"/>
          <w:szCs w:val="28"/>
        </w:rPr>
        <w:t xml:space="preserve"> службе в Российской Федерации».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</w:t>
      </w:r>
      <w:r>
        <w:rPr>
          <w:rFonts w:ascii="Times New Roman" w:hAnsi="Times New Roman"/>
          <w:sz w:val="24"/>
          <w:szCs w:val="28"/>
        </w:rPr>
        <w:t xml:space="preserve">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</w:t>
      </w:r>
      <w:r>
        <w:rPr>
          <w:rFonts w:ascii="Times New Roman" w:hAnsi="Times New Roman"/>
          <w:sz w:val="24"/>
          <w:szCs w:val="28"/>
        </w:rPr>
        <w:t xml:space="preserve">ь поручения своего руководителя.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</w:t>
      </w:r>
      <w:r>
        <w:rPr>
          <w:rFonts w:ascii="Times New Roman" w:hAnsi="Times New Roman"/>
          <w:sz w:val="24"/>
          <w:szCs w:val="28"/>
        </w:rPr>
        <w:t xml:space="preserve"> Собл</w:t>
      </w:r>
      <w:r>
        <w:rPr>
          <w:rFonts w:ascii="Times New Roman" w:hAnsi="Times New Roman"/>
          <w:sz w:val="24"/>
          <w:szCs w:val="28"/>
        </w:rPr>
        <w:t xml:space="preserve">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</w:t>
      </w:r>
      <w:r>
        <w:rPr>
          <w:rFonts w:ascii="Times New Roman" w:hAnsi="Times New Roman"/>
          <w:sz w:val="24"/>
          <w:szCs w:val="28"/>
        </w:rPr>
        <w:t xml:space="preserve">олезни или оставления должности.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</w:t>
      </w:r>
      <w:r>
        <w:rPr>
          <w:rFonts w:ascii="Times New Roman" w:hAnsi="Times New Roman"/>
          <w:sz w:val="24"/>
          <w:szCs w:val="28"/>
        </w:rPr>
        <w:t xml:space="preserve"> Соблюдать установленный служебный распорядок, </w:t>
      </w:r>
      <w:r>
        <w:rPr>
          <w:rFonts w:ascii="Times New Roman" w:hAnsi="Times New Roman"/>
          <w:sz w:val="24"/>
          <w:szCs w:val="28"/>
        </w:rPr>
        <w:t xml:space="preserve">К</w:t>
      </w:r>
      <w:r>
        <w:rPr>
          <w:rFonts w:ascii="Times New Roman" w:hAnsi="Times New Roman"/>
          <w:sz w:val="24"/>
          <w:szCs w:val="28"/>
        </w:rPr>
        <w:t xml:space="preserve">одекс поведения  муниципальн</w:t>
      </w:r>
      <w:r>
        <w:rPr>
          <w:rFonts w:ascii="Times New Roman" w:hAnsi="Times New Roman"/>
          <w:sz w:val="24"/>
          <w:szCs w:val="28"/>
        </w:rPr>
        <w:t xml:space="preserve">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</w:t>
      </w:r>
      <w:r>
        <w:rPr>
          <w:rFonts w:ascii="Times New Roman" w:hAnsi="Times New Roman"/>
          <w:sz w:val="24"/>
          <w:szCs w:val="28"/>
        </w:rPr>
        <w:t xml:space="preserve">ной личной выгоды.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</w:t>
      </w:r>
      <w:r>
        <w:rPr>
          <w:rFonts w:ascii="Times New Roman" w:hAnsi="Times New Roman"/>
          <w:sz w:val="24"/>
          <w:szCs w:val="28"/>
        </w:rPr>
        <w:t xml:space="preserve">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</w:t>
      </w:r>
      <w:r>
        <w:rPr>
          <w:rFonts w:ascii="Times New Roman" w:hAnsi="Times New Roman"/>
          <w:sz w:val="24"/>
          <w:szCs w:val="28"/>
        </w:rPr>
        <w:t xml:space="preserve">предотвращению такого конфликта.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</w:t>
      </w:r>
      <w:r>
        <w:rPr>
          <w:rFonts w:ascii="Times New Roman" w:hAnsi="Times New Roman"/>
          <w:sz w:val="24"/>
          <w:szCs w:val="28"/>
        </w:rPr>
        <w:t xml:space="preserve">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>
        <w:rPr>
          <w:rFonts w:ascii="Times New Roman" w:hAnsi="Times New Roman"/>
          <w:sz w:val="24"/>
          <w:szCs w:val="28"/>
        </w:rPr>
        <w:t xml:space="preserve">ию коррупционных правонарушений.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</w:t>
      </w:r>
      <w:r>
        <w:rPr>
          <w:rFonts w:ascii="Times New Roman" w:hAnsi="Times New Roman"/>
          <w:sz w:val="24"/>
          <w:szCs w:val="28"/>
        </w:rPr>
        <w:t xml:space="preserve"> При определённых обстоятельствах принимает самостоятельные </w:t>
      </w:r>
      <w:r>
        <w:rPr>
          <w:rFonts w:ascii="Times New Roman" w:hAnsi="Times New Roman"/>
          <w:sz w:val="24"/>
          <w:szCs w:val="28"/>
        </w:rPr>
        <w:t xml:space="preserve">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должности муниципальной службы.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 и в соответствии с должностными обязанностями.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Осуществляет руководство отделом и несет персональную ответственность за надлежащее выполнение возложенных на отдел задач и функций.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Распределяет обязанности между специалистами отдела.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Обеспечивает информационно - аналитическую деятельность главы администрации городского округа по вопросам</w:t>
      </w:r>
      <w:r>
        <w:rPr>
          <w:rFonts w:ascii="Times New Roman" w:hAnsi="Times New Roman"/>
          <w:sz w:val="24"/>
          <w:szCs w:val="28"/>
        </w:rPr>
        <w:t xml:space="preserve"> градостроительства и территориального планирования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</w:t>
      </w:r>
      <w:r>
        <w:rPr>
          <w:rFonts w:ascii="Times New Roman" w:hAnsi="Times New Roman"/>
          <w:sz w:val="24"/>
          <w:szCs w:val="28"/>
        </w:rPr>
        <w:t xml:space="preserve"> Готовит мероприятия, направленные на улучшение градостроительной обстановки.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</w:t>
      </w:r>
      <w:r>
        <w:rPr>
          <w:rFonts w:ascii="Times New Roman" w:hAnsi="Times New Roman"/>
          <w:sz w:val="24"/>
          <w:szCs w:val="28"/>
        </w:rPr>
        <w:t xml:space="preserve"> Участвует в разработке нормативно-правовых документов в области градостроительства.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Разрабатывает генеральный план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правила землепользования и застройки.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</w:t>
      </w:r>
      <w:r>
        <w:rPr>
          <w:rFonts w:ascii="Times New Roman" w:hAnsi="Times New Roman"/>
          <w:sz w:val="24"/>
          <w:szCs w:val="28"/>
        </w:rPr>
        <w:t xml:space="preserve"> Разрабатывает на основе генеральных планов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документацию по планировке территории, выдает разрешение на строительство (за исключением случаев, предусмотр</w:t>
      </w:r>
      <w:r>
        <w:rPr>
          <w:rFonts w:ascii="Times New Roman" w:hAnsi="Times New Roman"/>
          <w:sz w:val="24"/>
          <w:szCs w:val="28"/>
        </w:rPr>
        <w:t xml:space="preserve">енных Градостроительным кодексом Российской Федерации, иными федеральными законами), разрешение на ввод объектов в эксплуатацию при осуществлении строительства, реконструкции объектов капитального строительства, расположенных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</w:t>
      </w:r>
      <w:r>
        <w:rPr>
          <w:rFonts w:ascii="Times New Roman" w:hAnsi="Times New Roman"/>
          <w:sz w:val="24"/>
          <w:szCs w:val="28"/>
        </w:rPr>
        <w:t xml:space="preserve"> Утверждает местные нормативы градостроительного проектирования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ведение информационной системы обеспечения градостроительной деятельности, осуществляемой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</w:t>
      </w:r>
      <w:r>
        <w:rPr>
          <w:rFonts w:ascii="Times New Roman" w:hAnsi="Times New Roman"/>
          <w:sz w:val="24"/>
          <w:szCs w:val="28"/>
        </w:rPr>
        <w:t xml:space="preserve"> Направляет уведомления о соответствии указанных в </w:t>
      </w:r>
      <w:r>
        <w:rPr>
          <w:rFonts w:ascii="Times New Roman" w:hAnsi="Times New Roman"/>
          <w:sz w:val="24"/>
          <w:szCs w:val="28"/>
        </w:rPr>
        <w:t xml:space="preserve">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</w:t>
      </w:r>
      <w:r>
        <w:rPr>
          <w:rFonts w:ascii="Times New Roman" w:hAnsi="Times New Roman"/>
          <w:sz w:val="24"/>
          <w:szCs w:val="28"/>
        </w:rPr>
        <w:t xml:space="preserve"> Уведомляет о несоответствии указанных в уведомл</w:t>
      </w:r>
      <w:r>
        <w:rPr>
          <w:rFonts w:ascii="Times New Roman" w:hAnsi="Times New Roman"/>
          <w:sz w:val="24"/>
          <w:szCs w:val="28"/>
        </w:rPr>
        <w:t xml:space="preserve">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</w:t>
      </w:r>
      <w:r>
        <w:rPr>
          <w:rFonts w:ascii="Times New Roman" w:hAnsi="Times New Roman"/>
          <w:sz w:val="24"/>
          <w:szCs w:val="28"/>
        </w:rPr>
        <w:t xml:space="preserve"> Уведомляет о соответствии или несоответствии построенных или реконструированных объекта индивидуального жилищного строител</w:t>
      </w:r>
      <w:r>
        <w:rPr>
          <w:rFonts w:ascii="Times New Roman" w:hAnsi="Times New Roman"/>
          <w:sz w:val="24"/>
          <w:szCs w:val="28"/>
        </w:rPr>
        <w:t xml:space="preserve">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</w:t>
      </w:r>
      <w:r>
        <w:rPr>
          <w:rFonts w:ascii="Times New Roman" w:hAnsi="Times New Roman"/>
          <w:sz w:val="24"/>
          <w:szCs w:val="28"/>
        </w:rPr>
        <w:t xml:space="preserve"> Присваивает адреса объектам адресации, изменение, аннулирование адресов, </w:t>
      </w:r>
      <w:r>
        <w:rPr>
          <w:rFonts w:ascii="Times New Roman" w:hAnsi="Times New Roman"/>
          <w:sz w:val="24"/>
          <w:szCs w:val="28"/>
        </w:rPr>
        <w:t xml:space="preserve">присваивает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изменение, аннулирование таких наименований, размещение информации в государственном адресном реестре.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  <w:num w:numId="20">
    <w:abstractNumId w:val="13"/>
  </w:num>
  <w:num w:numId="21">
    <w:abstractNumId w:val="14"/>
  </w:num>
  <w:num w:numId="22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  <w:style w:type="paragraph" w:styleId="1_2275" w:customStyle="1">
    <w:name w:val="Основной текст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317" w:after="0" w:afterAutospacing="0" w:before="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2025-01-20T08:38:49Z</dcterms:modified>
</cp:coreProperties>
</file>