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1"/>
        <w:ind w:firstLine="720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</w:r>
      <w:r/>
    </w:p>
    <w:p>
      <w:pPr>
        <w:pStyle w:val="881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1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о </w:t>
      </w:r>
      <w:r>
        <w:rPr>
          <w:b/>
          <w:sz w:val="28"/>
          <w:szCs w:val="28"/>
        </w:rPr>
        <w:t xml:space="preserve">проведении</w:t>
      </w:r>
      <w:r>
        <w:rPr>
          <w:b/>
          <w:sz w:val="28"/>
          <w:szCs w:val="28"/>
        </w:rPr>
        <w:t xml:space="preserve"> повторного 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1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1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1"/>
        <w:ind w:firstLine="720"/>
        <w:jc w:val="both"/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городского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повторного 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</w:t>
      </w:r>
      <w:r>
        <w:rPr>
          <w:color w:val="000000"/>
          <w:sz w:val="24"/>
          <w:szCs w:val="24"/>
        </w:rPr>
        <w:t xml:space="preserve"> муниципальной службы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–</w:t>
      </w:r>
      <w:r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ачальник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</w:t>
      </w:r>
      <w:r>
        <w:rPr>
          <w:sz w:val="24"/>
          <w:szCs w:val="24"/>
        </w:rPr>
        <w:t xml:space="preserve">тдел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по работе с льготными и иными категориями граждан</w:t>
      </w:r>
      <w:r>
        <w:rPr>
          <w:sz w:val="24"/>
          <w:szCs w:val="24"/>
        </w:rPr>
        <w:t xml:space="preserve"> управления социальной защиты населения администрации Новооскольского муниципального округа</w:t>
      </w:r>
      <w:r>
        <w:rPr>
          <w:sz w:val="24"/>
          <w:szCs w:val="24"/>
        </w:rPr>
        <w:t xml:space="preserve">.</w:t>
      </w:r>
      <w:r>
        <w:t xml:space="preserve"> </w:t>
      </w:r>
      <w:r/>
    </w:p>
    <w:p>
      <w:pPr>
        <w:pStyle w:val="881"/>
        <w:ind w:firstLine="720"/>
        <w:jc w:val="both"/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9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а) личное заявление на имя представителя нанимателя;</w:t>
      </w:r>
      <w:r/>
    </w:p>
    <w:p>
      <w:pPr>
        <w:pStyle w:val="89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rFonts w:ascii="Times New Roman" w:hAnsi="Times New Roman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(форма 001-ГС/у);</w:t>
      </w:r>
      <w:r/>
    </w:p>
    <w:p>
      <w:pPr>
        <w:pStyle w:val="89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rFonts w:ascii="Times New Roman" w:hAnsi="Times New Roman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ж) иные документы, пр</w:t>
      </w:r>
      <w:r>
        <w:rPr>
          <w:rFonts w:ascii="Times New Roman" w:hAnsi="Times New Roman"/>
          <w:sz w:val="24"/>
          <w:szCs w:val="24"/>
        </w:rPr>
        <w:t xml:space="preserve">едусмотренные Федеральным законом от 02 марта 2007 года                    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управления социальной защиты населения администрации Новооскольского муниципального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анкету 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приложением фотографии.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1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1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81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1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1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1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</w:t>
            </w:r>
            <w:r>
              <w:rPr>
                <w:sz w:val="24"/>
                <w:szCs w:val="24"/>
              </w:rPr>
              <w:t xml:space="preserve">о</w:t>
            </w:r>
            <w:r>
              <w:rPr>
                <w:sz w:val="24"/>
                <w:szCs w:val="24"/>
              </w:rPr>
              <w:t xml:space="preserve">тдел</w:t>
            </w: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  <w:t xml:space="preserve"> по работе с льготными и иными категориями граждан</w:t>
            </w:r>
            <w:r>
              <w:rPr>
                <w:sz w:val="24"/>
                <w:szCs w:val="24"/>
              </w:rPr>
              <w:t xml:space="preserve"> управления социальной защиты населения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8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двух лет.</w:t>
            </w:r>
            <w:r/>
          </w:p>
          <w:p>
            <w:pPr>
              <w:pStyle w:val="88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Для лиц, имеющих дипломы специалиста или магистра с отличием, в течение трех лет со дня выдачи диплома устанавливаются квалификаци</w:t>
            </w:r>
            <w:r>
              <w:rPr>
                <w:sz w:val="24"/>
                <w:szCs w:val="24"/>
              </w:rPr>
              <w:t xml:space="preserve">онные требования к стажу муниципальной службы или работы по специальности, направлению подготовки для замещения главных должностей муниципальной службы - не менее шести месяцев стажа муниципальной службы или работы по специальности, направлению подготовки.</w:t>
            </w:r>
            <w:r/>
          </w:p>
          <w:p>
            <w:pPr>
              <w:pStyle w:val="881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  <w:r>
              <w:rPr>
                <w:sz w:val="24"/>
                <w:szCs w:val="24"/>
              </w:rPr>
              <w:t xml:space="preserve">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1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1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1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1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8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81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1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</w:t>
            </w:r>
            <w:r>
              <w:rPr>
                <w:sz w:val="24"/>
                <w:szCs w:val="24"/>
              </w:rPr>
              <w:t xml:space="preserve">о</w:t>
            </w:r>
            <w:r>
              <w:rPr>
                <w:sz w:val="24"/>
                <w:szCs w:val="24"/>
              </w:rPr>
              <w:t xml:space="preserve">тдел</w:t>
            </w: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  <w:t xml:space="preserve"> по работе с льготными и иными категориями граждан</w:t>
            </w:r>
            <w:r>
              <w:rPr>
                <w:sz w:val="24"/>
                <w:szCs w:val="24"/>
              </w:rPr>
              <w:t xml:space="preserve"> управления социальной защиты населения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1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городского округа</w:t>
            </w:r>
            <w:r>
              <w:rPr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81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знания в области информационно </w:t>
            </w:r>
            <w:r>
              <w:rPr>
                <w:sz w:val="24"/>
                <w:szCs w:val="24"/>
              </w:rPr>
              <w:t xml:space="preserve">- коммуникационных технологий (</w:t>
            </w:r>
            <w:r>
              <w:rPr>
                <w:sz w:val="24"/>
                <w:szCs w:val="24"/>
              </w:rPr>
              <w:t xml:space="preserve">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sz w:val="24"/>
                <w:szCs w:val="24"/>
              </w:rPr>
              <w:t xml:space="preserve">округа</w:t>
            </w:r>
            <w:r>
              <w:rPr>
                <w:sz w:val="24"/>
                <w:szCs w:val="24"/>
              </w:rPr>
              <w:t xml:space="preserve">, включая использование возможностей межведомственного  документооборота, общих вопросов в области  обеспечения информационной безопасности;</w:t>
            </w:r>
            <w:r/>
          </w:p>
          <w:p>
            <w:pPr>
              <w:pStyle w:val="881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-навыки владения современными средствами, методами и технологией работы с  информацией (работы  с внутренними  и пери</w:t>
            </w:r>
            <w:r>
              <w:rPr>
                <w:sz w:val="24"/>
                <w:szCs w:val="24"/>
              </w:rPr>
              <w:t xml:space="preserve">ферийными  устройствами  компьютера, работы в операционной системе, управления электронной почтой, работы в текстовом редакторе, работы  с электронными таблицами и базами данных, с информационно – телекоммуникационными  сетями, в том числе сетью Интернет);</w:t>
            </w:r>
            <w:r/>
          </w:p>
          <w:p>
            <w:pPr>
              <w:pStyle w:val="881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способность логически верно, аргументированно и ясно строить устную и письменную речь; грамотное написание текста на русском языке.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1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1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1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</w:t>
            </w:r>
            <w:r>
              <w:rPr>
                <w:sz w:val="24"/>
                <w:szCs w:val="24"/>
              </w:rPr>
              <w:t xml:space="preserve">о</w:t>
            </w:r>
            <w:r>
              <w:rPr>
                <w:sz w:val="24"/>
                <w:szCs w:val="24"/>
              </w:rPr>
              <w:t xml:space="preserve">тдел</w:t>
            </w: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  <w:t xml:space="preserve"> по работе с льготными и иными категориями граждан</w:t>
            </w:r>
            <w:r>
              <w:rPr>
                <w:sz w:val="24"/>
                <w:szCs w:val="24"/>
              </w:rPr>
              <w:t xml:space="preserve"> управления социальной защиты населения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1"/>
              <w:numPr>
                <w:ilvl w:val="0"/>
                <w:numId w:val="19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умение управлять своим временем для достижения оптимального результата, способность к ежедневному оперативному планированию работы;</w:t>
            </w:r>
            <w:r/>
          </w:p>
          <w:p>
            <w:pPr>
              <w:pStyle w:val="881"/>
              <w:numPr>
                <w:ilvl w:val="0"/>
                <w:numId w:val="19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стремление находить пути для достижения результата в стандартной ситуации и способность оценивать ресурсы;</w:t>
            </w:r>
            <w:r/>
          </w:p>
          <w:p>
            <w:pPr>
              <w:pStyle w:val="881"/>
              <w:numPr>
                <w:ilvl w:val="0"/>
                <w:numId w:val="19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наличие знаний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81"/>
              <w:numPr>
                <w:ilvl w:val="0"/>
                <w:numId w:val="19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следование социальным стандартам и требованиям служебной этики в рабочих ситуациях;</w:t>
            </w:r>
            <w:r/>
          </w:p>
          <w:p>
            <w:pPr>
              <w:pStyle w:val="881"/>
              <w:ind w:left="40" w:right="40" w:firstLine="48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умение применять установленные стандарты, правила и процедуры в соответствии с конкретной ситуацией, способность двигаться в новом направлении при изменении ситуации;</w:t>
            </w:r>
            <w:r/>
          </w:p>
          <w:p>
            <w:pPr>
              <w:pStyle w:val="881"/>
              <w:numPr>
                <w:ilvl w:val="0"/>
                <w:numId w:val="19"/>
              </w:num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готовность нести ответственность за собственные решения;</w:t>
            </w:r>
            <w:r/>
          </w:p>
          <w:p>
            <w:pPr>
              <w:pStyle w:val="881"/>
              <w:numPr>
                <w:ilvl w:val="0"/>
                <w:numId w:val="19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постоянное профессионально-квалификационное развитие, в том числе посредством самообразования, планирование пути своего дальнейшего профессионального развития;</w:t>
            </w:r>
            <w:r/>
          </w:p>
          <w:p>
            <w:pPr>
              <w:pStyle w:val="881"/>
              <w:numPr>
                <w:ilvl w:val="0"/>
                <w:numId w:val="19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руководство в работе правовыми знаниями и убеждениями в соответствии с законодательством и установленными регламентами;</w:t>
            </w:r>
            <w:r/>
          </w:p>
          <w:p>
            <w:pPr>
              <w:pStyle w:val="881"/>
              <w:numPr>
                <w:ilvl w:val="0"/>
                <w:numId w:val="19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знание структуры общественных институтов, особенностей построения системы государственного и муниципального управления;</w:t>
            </w:r>
            <w:r/>
          </w:p>
          <w:p>
            <w:pPr>
              <w:pStyle w:val="881"/>
              <w:numPr>
                <w:ilvl w:val="0"/>
                <w:numId w:val="19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умение правильно оформлять типовые документы, знание процедур их согласования, утверждения, хранения и перемещения;</w:t>
            </w:r>
            <w:r/>
          </w:p>
          <w:p>
            <w:pPr>
              <w:pStyle w:val="881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 навыки подготовки презентаций, использования графических объектов в электронных документах.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9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должностные обязанности по вакантной должности входят: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1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соблюдать Конституцию Российской Федерации, федеральные конституционные законы</w:t>
      </w:r>
      <w:r>
        <w:rPr>
          <w:sz w:val="24"/>
          <w:szCs w:val="24"/>
        </w:rPr>
        <w:t xml:space="preserve">, федеральные законы, иные нормативные правовые акты Российской Федерации, конституции (уставы), законы и иные нормативные правовые акты Белгородской области, устав муниципального образования и иные муниципальные правовые акты и обеспечивать их исполнение;</w:t>
      </w:r>
      <w:r/>
    </w:p>
    <w:p>
      <w:pPr>
        <w:pStyle w:val="881"/>
        <w:ind w:firstLine="720"/>
        <w:jc w:val="both"/>
        <w:rPr>
          <w:sz w:val="24"/>
          <w:szCs w:val="24"/>
        </w:rPr>
      </w:pPr>
      <w:r/>
      <w:bookmarkStart w:id="0" w:name="dst100081"/>
      <w:r/>
      <w:bookmarkEnd w:id="0"/>
      <w:r>
        <w:rPr>
          <w:sz w:val="24"/>
          <w:szCs w:val="24"/>
        </w:rPr>
        <w:t xml:space="preserve">2) исполнять должностные обязанности в соответствии с должностной инструкцией;</w:t>
      </w:r>
      <w:r/>
    </w:p>
    <w:p>
      <w:pPr>
        <w:pStyle w:val="881"/>
        <w:ind w:firstLine="720"/>
        <w:jc w:val="both"/>
      </w:pPr>
      <w:r/>
      <w:bookmarkStart w:id="1" w:name="dst53"/>
      <w:r/>
      <w:bookmarkEnd w:id="1"/>
      <w:r>
        <w:rPr>
          <w:sz w:val="24"/>
          <w:szCs w:val="24"/>
        </w:rPr>
        <w:t xml:space="preserve">3) соблюдать при исполнении должностных обязанностей права, свободы и законные интересы человека и гражданина независимо от расы, национальности, языка, отношения к религии и других обстоятельств, а также права и законные интересы организаций;</w:t>
      </w:r>
      <w:r/>
    </w:p>
    <w:p>
      <w:pPr>
        <w:pStyle w:val="881"/>
        <w:ind w:firstLine="720"/>
        <w:jc w:val="both"/>
        <w:rPr>
          <w:sz w:val="24"/>
          <w:szCs w:val="24"/>
        </w:rPr>
      </w:pPr>
      <w:r/>
      <w:bookmarkStart w:id="2" w:name="dst100083"/>
      <w:r/>
      <w:bookmarkEnd w:id="2"/>
      <w:r>
        <w:rPr>
          <w:sz w:val="24"/>
          <w:szCs w:val="24"/>
        </w:rPr>
        <w:t xml:space="preserve">4) соблюдать установленные в органе местного самоуправления, аппарате избирательной комиссии муниципального образования правила внутреннего трудового распорядка, должностную инструкцию, порядок работы со служебной информацией;</w:t>
      </w:r>
      <w:r/>
    </w:p>
    <w:p>
      <w:pPr>
        <w:pStyle w:val="881"/>
        <w:ind w:firstLine="720"/>
        <w:jc w:val="both"/>
        <w:rPr>
          <w:sz w:val="24"/>
          <w:szCs w:val="24"/>
        </w:rPr>
      </w:pPr>
      <w:r/>
      <w:bookmarkStart w:id="3" w:name="dst100084"/>
      <w:r/>
      <w:bookmarkEnd w:id="3"/>
      <w:r>
        <w:rPr>
          <w:sz w:val="24"/>
          <w:szCs w:val="24"/>
        </w:rPr>
        <w:t xml:space="preserve">5) поддерживать уровень квалификации, необходимый для надлежащего исполнения должностных обязанностей;</w:t>
      </w:r>
      <w:r/>
    </w:p>
    <w:p>
      <w:pPr>
        <w:pStyle w:val="881"/>
        <w:ind w:firstLine="720"/>
        <w:jc w:val="both"/>
        <w:rPr>
          <w:sz w:val="24"/>
          <w:szCs w:val="24"/>
        </w:rPr>
      </w:pPr>
      <w:r/>
      <w:bookmarkStart w:id="4" w:name="dst100085"/>
      <w:r/>
      <w:bookmarkEnd w:id="4"/>
      <w:r>
        <w:rPr>
          <w:sz w:val="24"/>
          <w:szCs w:val="24"/>
        </w:rPr>
        <w:t xml:space="preserve">6) не разглашать сведения, составляющие гос</w:t>
      </w:r>
      <w:r>
        <w:rPr>
          <w:sz w:val="24"/>
          <w:szCs w:val="24"/>
        </w:rPr>
        <w:t xml:space="preserve">ударственную и иную охраняемую федеральными законами тайну, а также сведения, ставшие ему известными в связи с исполнением должностных обязанностей, в том числе сведения, касающиеся частной жизни и здоровья граждан или затрагивающие их честь и достоинство;</w:t>
      </w:r>
      <w:r/>
    </w:p>
    <w:p>
      <w:pPr>
        <w:pStyle w:val="881"/>
        <w:ind w:firstLine="720"/>
        <w:jc w:val="both"/>
        <w:rPr>
          <w:sz w:val="24"/>
          <w:szCs w:val="24"/>
        </w:rPr>
      </w:pPr>
      <w:r/>
      <w:bookmarkStart w:id="5" w:name="dst100086"/>
      <w:r/>
      <w:bookmarkEnd w:id="5"/>
      <w:r>
        <w:rPr>
          <w:sz w:val="24"/>
          <w:szCs w:val="24"/>
        </w:rPr>
        <w:t xml:space="preserve">7) беречь государственное и муниципальное имущество, в том числе предоставленное ему для исполнения должностных обязанностей;</w:t>
      </w:r>
      <w:r/>
    </w:p>
    <w:p>
      <w:pPr>
        <w:pStyle w:val="881"/>
        <w:ind w:firstLine="720"/>
        <w:jc w:val="both"/>
        <w:rPr>
          <w:sz w:val="24"/>
          <w:szCs w:val="24"/>
        </w:rPr>
      </w:pPr>
      <w:r/>
      <w:bookmarkStart w:id="6" w:name="dst12"/>
      <w:r/>
      <w:bookmarkEnd w:id="6"/>
      <w:r>
        <w:rPr>
          <w:sz w:val="24"/>
          <w:szCs w:val="24"/>
        </w:rPr>
        <w:t xml:space="preserve">8) представлять в установленном порядке предусмотренные законодательством Российской Федерации сведения о себе и членах своей семьи;</w:t>
      </w:r>
      <w:r/>
    </w:p>
    <w:p>
      <w:pPr>
        <w:pStyle w:val="881"/>
        <w:ind w:firstLine="720"/>
        <w:jc w:val="both"/>
        <w:rPr>
          <w:sz w:val="24"/>
          <w:szCs w:val="24"/>
        </w:rPr>
      </w:pPr>
      <w:r/>
      <w:bookmarkStart w:id="7" w:name="dst100088"/>
      <w:r/>
      <w:bookmarkEnd w:id="7"/>
      <w:r>
        <w:rPr>
          <w:sz w:val="24"/>
          <w:szCs w:val="24"/>
        </w:rPr>
        <w:t xml:space="preserve">9) с</w:t>
      </w:r>
      <w:r>
        <w:rPr>
          <w:sz w:val="24"/>
          <w:szCs w:val="24"/>
        </w:rPr>
        <w:t xml:space="preserve">ообщать представителю нанимателя (работодателю) о выходе из гражданства Российской Федерации в день выхода из гражданства Российской Федерации или о приобретении гражданства иностранного государства в день приобретения гражданства иностранного государства;</w:t>
      </w:r>
      <w:r/>
    </w:p>
    <w:p>
      <w:pPr>
        <w:pStyle w:val="881"/>
        <w:ind w:firstLine="720"/>
        <w:jc w:val="both"/>
        <w:rPr>
          <w:sz w:val="24"/>
          <w:szCs w:val="24"/>
        </w:rPr>
      </w:pPr>
      <w:r/>
      <w:bookmarkStart w:id="8" w:name="dst100089"/>
      <w:r/>
      <w:bookmarkEnd w:id="8"/>
      <w:r>
        <w:rPr>
          <w:sz w:val="24"/>
          <w:szCs w:val="24"/>
        </w:rPr>
        <w:t xml:space="preserve">10) соблюдать ограничения, выполнять обязательства, не нарушать запреты, которые установлены Федеральным законом от 02.03.2007 г. № 25-ФЗ «О муниципальной службе в Российской Федерации»;</w:t>
      </w:r>
      <w:r/>
    </w:p>
    <w:p>
      <w:pPr>
        <w:pStyle w:val="881"/>
        <w:ind w:firstLine="720"/>
        <w:jc w:val="both"/>
        <w:rPr>
          <w:sz w:val="24"/>
          <w:szCs w:val="24"/>
        </w:rPr>
      </w:pPr>
      <w:r/>
      <w:bookmarkStart w:id="9" w:name="dst82"/>
      <w:r/>
      <w:bookmarkEnd w:id="9"/>
      <w:r>
        <w:rPr>
          <w:sz w:val="24"/>
          <w:szCs w:val="24"/>
        </w:rPr>
        <w:t xml:space="preserve">11) уведомлять в письменной форме представителя нанимателя (работодателя) о личной заинтересованности при исполнении должностных обязанностей, которая может привести к конфликту интересов, и принимать меры по предотвращению подобного конфликта.</w:t>
      </w:r>
      <w:r/>
    </w:p>
    <w:p>
      <w:pPr>
        <w:pStyle w:val="881"/>
        <w:jc w:val="both"/>
        <w:rPr>
          <w:sz w:val="24"/>
          <w:szCs w:val="24"/>
        </w:rPr>
      </w:pPr>
      <w:r/>
      <w:bookmarkStart w:id="10" w:name="dst100091"/>
      <w:r/>
      <w:bookmarkEnd w:id="10"/>
      <w:r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Муниципальный служащий в пределах своей компетенции выполняет следующие должностные обязанности: 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осуществляет общее руководство отделом;</w:t>
      </w:r>
      <w:r/>
    </w:p>
    <w:p>
      <w:pPr>
        <w:pStyle w:val="881"/>
        <w:ind w:firstLine="709"/>
        <w:jc w:val="both"/>
        <w:tabs>
          <w:tab w:val="left" w:pos="709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– участвует в реализации социальной политики городского округа направленной на поддержку семьи, материнства и детства, отцовства, граждан, находящихся в трудной жизненной ситуации;</w:t>
      </w:r>
      <w:r/>
    </w:p>
    <w:p>
      <w:pPr>
        <w:pStyle w:val="881"/>
        <w:ind w:firstLine="709"/>
        <w:jc w:val="both"/>
        <w:tabs>
          <w:tab w:val="left" w:pos="709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– организует районные массовые мероприятия, посвященные семье и детям;</w:t>
      </w:r>
      <w:r/>
    </w:p>
    <w:p>
      <w:pPr>
        <w:pStyle w:val="881"/>
        <w:ind w:firstLine="709"/>
        <w:jc w:val="both"/>
        <w:tabs>
          <w:tab w:val="left" w:pos="709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– подготавливает и согласовывает проекты муниципальных правовых актов по вопросам, входящим в компетенцию отдела;</w:t>
      </w:r>
      <w:r/>
    </w:p>
    <w:p>
      <w:pPr>
        <w:pStyle w:val="881"/>
        <w:ind w:firstLine="709"/>
        <w:jc w:val="both"/>
        <w:tabs>
          <w:tab w:val="left" w:pos="709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– ведет прием и консультирование граждан по вопросам, входящим в компетенцию отдела;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проводит работу со средствами массовой информации направленную на повышение уровня информированности населения по вопросам, отнесенным к компетенции отдела;</w:t>
      </w:r>
      <w:r/>
    </w:p>
    <w:p>
      <w:pPr>
        <w:pStyle w:val="881"/>
        <w:ind w:firstLine="709"/>
        <w:jc w:val="both"/>
        <w:tabs>
          <w:tab w:val="left" w:pos="709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– проводит совещания, семинары по вопросам, входящим в компетенцию отдела;</w:t>
      </w:r>
      <w:r/>
    </w:p>
    <w:p>
      <w:pPr>
        <w:pStyle w:val="881"/>
        <w:ind w:firstLine="709"/>
        <w:jc w:val="both"/>
        <w:tabs>
          <w:tab w:val="left" w:pos="709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– рассматривает обращения граждан в установленные законодательством сроки;</w:t>
      </w:r>
      <w:r/>
    </w:p>
    <w:p>
      <w:pPr>
        <w:pStyle w:val="881"/>
        <w:ind w:firstLine="709"/>
        <w:jc w:val="both"/>
        <w:tabs>
          <w:tab w:val="left" w:pos="709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– ведет учет граждан, имеющих трех и более детей, для предоставления земельных участков, находящихся в государственной или муниципальной собственности, на территории Новооскольского городского округа;</w:t>
      </w:r>
      <w:r/>
    </w:p>
    <w:p>
      <w:pPr>
        <w:pStyle w:val="881"/>
        <w:ind w:firstLine="709"/>
        <w:jc w:val="both"/>
        <w:tabs>
          <w:tab w:val="left" w:pos="709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– принимает документы от граждан и направляет ходатайства в соответствующие государственные организации по направлениям деятельности отдела:</w:t>
      </w:r>
      <w:r/>
    </w:p>
    <w:p>
      <w:pPr>
        <w:pStyle w:val="881"/>
        <w:jc w:val="both"/>
        <w:tabs>
          <w:tab w:val="left" w:pos="709" w:leader="none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1) награды многодетным матерям;</w:t>
      </w:r>
      <w:r/>
    </w:p>
    <w:p>
      <w:pPr>
        <w:pStyle w:val="881"/>
        <w:jc w:val="both"/>
        <w:tabs>
          <w:tab w:val="left" w:pos="709" w:leader="none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2) дополнительные меры социальной поддержки семей с детьми.</w:t>
      </w:r>
      <w:r/>
    </w:p>
    <w:p>
      <w:pPr>
        <w:pStyle w:val="88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  <w:tab/>
        <w:t xml:space="preserve">– по кругу своих обязанностей готовит всю необходимую статистическую отчетность согласно графику отчетности;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обеспечивает антикоррупционную работу в управлении социальной защиты населения администрации Новооскольского городского округа;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участвует в мероприятиях по формированию культуры бережливого управления в управлении социальной защиты населения администрации Новооскольского городского округа;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подготавливает материалы, проекты решений, постановлений, приказов, других документов для рассмотрения и утверждения руководством;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организует выполнение постановлений и распоряжений администрации Новооскольского городского округа и управления социальной защиты населения администрации Новооскольского городского округа;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рассматривает в установленном порядке письма, жалобы и заявления граждан, служебные документы, дает разъяснения и консультации по вопросам, входящим в компетенцию отдела.</w:t>
      </w:r>
      <w:r/>
    </w:p>
    <w:p>
      <w:pPr>
        <w:pStyle w:val="89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муниципального   служащего  и  ответственность за неисполнение (ненадлежащее) исполнение должностных обязанностей установлены Федеральным  законом  от  02 марта 2007 года N  25-ФЗ «О муниципальной службе в Российской Федерации».</w:t>
      </w:r>
      <w:r/>
    </w:p>
    <w:p>
      <w:pPr>
        <w:pStyle w:val="89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 должности оценивается по следующим показателям:</w:t>
      </w:r>
      <w:r/>
    </w:p>
    <w:p>
      <w:pPr>
        <w:pStyle w:val="89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Результативность профессиональной служебной деятельности 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определяется по результатам    его     профессиональной     служебной     деятельности (и деятельности починенных ему муниципальных служащих) в порядке, установленном нормативными правовыми актами администрации Новооскольского городского округа.</w:t>
      </w:r>
      <w:r/>
    </w:p>
    <w:p>
      <w:pPr>
        <w:pStyle w:val="89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Показатели результативности для проведения оценки эффективности профессиональной служебной деятельности муниципального служащего:</w:t>
      </w:r>
      <w:r/>
    </w:p>
    <w:p>
      <w:pPr>
        <w:pStyle w:val="89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2.1. Количество выполненных работ (в том числе в рамках проектной деятельности).</w:t>
      </w:r>
      <w:r/>
    </w:p>
    <w:p>
      <w:pPr>
        <w:pStyle w:val="89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2.2. Качество выполненных работ.</w:t>
      </w:r>
      <w:r/>
    </w:p>
    <w:p>
      <w:pPr>
        <w:pStyle w:val="89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2.3. Своевременность выполнения работ (в том числе в рамках проектной деятельности)</w:t>
      </w:r>
      <w:r/>
    </w:p>
    <w:p>
      <w:pPr>
        <w:pStyle w:val="89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2.4. Количество нарушений должностной инструкции (в том числе нарушений трудовой дисциплины).</w:t>
      </w:r>
      <w:r/>
    </w:p>
    <w:p>
      <w:pPr>
        <w:pStyle w:val="89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2.5. Количество обоснованных жалоб граждан и организаций, в том числе и на ненадлежащее исполнение стандартов муниципальных услуг, государственных и муниципальных функций, а также ненадлежащее рассмотрение инициатив и обращений граждан (организаций).</w:t>
      </w:r>
      <w:r/>
    </w:p>
    <w:p>
      <w:pPr>
        <w:pStyle w:val="89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Условия прохождения муниципальной службы:</w:t>
      </w:r>
      <w:r/>
    </w:p>
    <w:p>
      <w:pPr>
        <w:pStyle w:val="89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 нерабочие праздничные дни).</w:t>
      </w:r>
      <w:r/>
    </w:p>
    <w:p>
      <w:pPr>
        <w:pStyle w:val="89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 соответствии со статьей 21 Федерально</w:t>
      </w:r>
      <w:r>
        <w:rPr>
          <w:rFonts w:ascii="Times New Roman" w:hAnsi="Times New Roman"/>
          <w:sz w:val="24"/>
          <w:szCs w:val="24"/>
        </w:rPr>
        <w:t xml:space="preserve">го закона 02 марта 2007 года № </w:t>
      </w:r>
      <w:r>
        <w:rPr>
          <w:rFonts w:ascii="Times New Roman" w:hAnsi="Times New Roman"/>
          <w:sz w:val="24"/>
          <w:szCs w:val="24"/>
        </w:rPr>
        <w:t xml:space="preserve">25-ФЗ                                    </w:t>
      </w:r>
      <w:r>
        <w:rPr>
          <w:rFonts w:ascii="Times New Roman" w:hAnsi="Times New Roman"/>
          <w:sz w:val="24"/>
          <w:szCs w:val="24"/>
        </w:rPr>
        <w:t xml:space="preserve">«О </w:t>
      </w:r>
      <w:r>
        <w:rPr>
          <w:rFonts w:ascii="Times New Roman" w:hAnsi="Times New Roman"/>
          <w:sz w:val="24"/>
          <w:szCs w:val="24"/>
        </w:rPr>
        <w:t xml:space="preserve">муниципальной службе в Российской Федерации».</w:t>
      </w:r>
      <w:r/>
    </w:p>
    <w:p>
      <w:pPr>
        <w:pStyle w:val="89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9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9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81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20 июня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10 июля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81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1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1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25 </w:t>
      </w:r>
      <w:r>
        <w:rPr>
          <w:b/>
          <w:color w:val="000000"/>
          <w:sz w:val="24"/>
          <w:szCs w:val="24"/>
        </w:rPr>
        <w:t xml:space="preserve">июля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81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81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81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81"/>
        <w:ind w:firstLine="720"/>
        <w:jc w:val="both"/>
        <w:spacing w:before="100" w:beforeAutospacing="1"/>
      </w:pPr>
      <w:r/>
      <w:r/>
    </w:p>
    <w:p>
      <w:pPr>
        <w:pStyle w:val="890"/>
        <w:ind w:firstLine="720"/>
        <w:jc w:val="both"/>
        <w:rPr>
          <w:sz w:val="26"/>
        </w:rPr>
      </w:pPr>
      <w:r>
        <w:rPr>
          <w:sz w:val="26"/>
        </w:rPr>
      </w:r>
      <w:r/>
    </w:p>
    <w:p>
      <w:pPr>
        <w:pStyle w:val="881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6"/>
      <w:rPr>
        <w:rStyle w:val="887"/>
      </w:rPr>
      <w:framePr w:wrap="around" w:vAnchor="text" w:hAnchor="margin" w:xAlign="center" w:y="1"/>
    </w:pPr>
    <w:r>
      <w:rPr>
        <w:rStyle w:val="887"/>
      </w:rPr>
      <w:fldChar w:fldCharType="begin"/>
    </w:r>
    <w:r>
      <w:rPr>
        <w:rStyle w:val="887"/>
      </w:rPr>
      <w:instrText xml:space="preserve">PAGE  </w:instrText>
    </w:r>
    <w:r>
      <w:rPr>
        <w:rStyle w:val="887"/>
      </w:rPr>
      <w:fldChar w:fldCharType="separate"/>
    </w:r>
    <w:r>
      <w:rPr>
        <w:rStyle w:val="887"/>
      </w:rPr>
      <w:t xml:space="preserve">5</w:t>
    </w:r>
    <w:r>
      <w:rPr>
        <w:rStyle w:val="887"/>
      </w:rPr>
      <w:fldChar w:fldCharType="end"/>
    </w:r>
    <w:r>
      <w:rPr>
        <w:rStyle w:val="887"/>
      </w:rPr>
    </w:r>
    <w:r/>
  </w:p>
  <w:p>
    <w:pPr>
      <w:pStyle w:val="886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6"/>
      <w:rPr>
        <w:rStyle w:val="887"/>
      </w:rPr>
      <w:framePr w:wrap="around" w:vAnchor="text" w:hAnchor="margin" w:xAlign="center" w:y="1"/>
    </w:pPr>
    <w:r>
      <w:rPr>
        <w:rStyle w:val="887"/>
      </w:rPr>
      <w:fldChar w:fldCharType="begin"/>
    </w:r>
    <w:r>
      <w:rPr>
        <w:rStyle w:val="887"/>
      </w:rPr>
      <w:instrText xml:space="preserve">PAGE  </w:instrText>
    </w:r>
    <w:r>
      <w:rPr>
        <w:rStyle w:val="887"/>
      </w:rPr>
      <w:fldChar w:fldCharType="end"/>
    </w:r>
    <w:r>
      <w:rPr>
        <w:rStyle w:val="887"/>
      </w:rPr>
    </w:r>
    <w:r/>
  </w:p>
  <w:p>
    <w:pPr>
      <w:pStyle w:val="886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1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1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1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1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1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1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1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1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1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1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1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1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1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1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1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1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1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1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1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1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1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1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1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1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1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1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1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1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1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1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1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1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1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1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1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1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1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1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1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1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1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1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1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1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1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1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1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1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1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1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1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1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1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1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1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1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1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1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1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1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1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1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1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1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1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</w:abstractNum>
  <w:abstractNum w:abstractNumId="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1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1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1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1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1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1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1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1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1"/>
        <w:ind w:left="6830" w:hanging="180"/>
        <w:tabs>
          <w:tab w:val="num" w:pos="683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1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1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81"/>
      </w:pPr>
    </w:lvl>
    <w:lvl w:ilvl="2">
      <w:start w:val="0"/>
      <w:numFmt w:val="decimal"/>
      <w:isLgl w:val="false"/>
      <w:suff w:val="tab"/>
      <w:lvlText w:val=""/>
      <w:lvlJc w:val="left"/>
      <w:pPr>
        <w:pStyle w:val="881"/>
      </w:pPr>
    </w:lvl>
    <w:lvl w:ilvl="3">
      <w:start w:val="0"/>
      <w:numFmt w:val="decimal"/>
      <w:isLgl w:val="false"/>
      <w:suff w:val="tab"/>
      <w:lvlText w:val=""/>
      <w:lvlJc w:val="left"/>
      <w:pPr>
        <w:pStyle w:val="881"/>
      </w:pPr>
    </w:lvl>
    <w:lvl w:ilvl="4">
      <w:start w:val="0"/>
      <w:numFmt w:val="decimal"/>
      <w:isLgl w:val="false"/>
      <w:suff w:val="tab"/>
      <w:lvlText w:val=""/>
      <w:lvlJc w:val="left"/>
      <w:pPr>
        <w:pStyle w:val="881"/>
      </w:pPr>
    </w:lvl>
    <w:lvl w:ilvl="5">
      <w:start w:val="0"/>
      <w:numFmt w:val="decimal"/>
      <w:isLgl w:val="false"/>
      <w:suff w:val="tab"/>
      <w:lvlText w:val=""/>
      <w:lvlJc w:val="left"/>
      <w:pPr>
        <w:pStyle w:val="881"/>
      </w:pPr>
    </w:lvl>
    <w:lvl w:ilvl="6">
      <w:start w:val="0"/>
      <w:numFmt w:val="decimal"/>
      <w:isLgl w:val="false"/>
      <w:suff w:val="tab"/>
      <w:lvlText w:val=""/>
      <w:lvlJc w:val="left"/>
      <w:pPr>
        <w:pStyle w:val="881"/>
      </w:pPr>
    </w:lvl>
    <w:lvl w:ilvl="7">
      <w:start w:val="0"/>
      <w:numFmt w:val="decimal"/>
      <w:isLgl w:val="false"/>
      <w:suff w:val="tab"/>
      <w:lvlText w:val=""/>
      <w:lvlJc w:val="left"/>
      <w:pPr>
        <w:pStyle w:val="881"/>
      </w:pPr>
    </w:lvl>
    <w:lvl w:ilvl="8">
      <w:start w:val="0"/>
      <w:numFmt w:val="decimal"/>
      <w:isLgl w:val="false"/>
      <w:suff w:val="tab"/>
      <w:lvlText w:val=""/>
      <w:lvlJc w:val="left"/>
      <w:pPr>
        <w:pStyle w:val="881"/>
      </w:pPr>
    </w:lvl>
  </w:abstractNum>
  <w:abstractNum w:abstractNumId="12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1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1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1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1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1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1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1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1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1"/>
        <w:ind w:left="9720" w:hanging="180"/>
        <w:tabs>
          <w:tab w:val="num" w:pos="972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1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1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1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1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1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1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1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1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1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9"/>
  </w:num>
  <w:num w:numId="3">
    <w:abstractNumId w:val="10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3"/>
  </w:num>
  <w:num w:numId="15">
    <w:abstractNumId w:val="12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1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1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1"/>
        </w:pPr>
        <w:rPr>
          <w:rFonts w:ascii="Times New Roman" w:hAnsi="Times New Roman"/>
        </w:rPr>
      </w:lvl>
    </w:lvlOverride>
  </w:num>
  <w:num w:numId="19">
    <w:abstractNumId w:val="1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3">
    <w:name w:val="Heading 1"/>
    <w:link w:val="704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4">
    <w:name w:val="Heading 1 Char"/>
    <w:link w:val="703"/>
    <w:uiPriority w:val="9"/>
    <w:rPr>
      <w:rFonts w:ascii="Arial" w:hAnsi="Arial" w:cs="Arial" w:eastAsia="Arial"/>
      <w:sz w:val="40"/>
      <w:szCs w:val="40"/>
    </w:rPr>
  </w:style>
  <w:style w:type="paragraph" w:styleId="705">
    <w:name w:val="Heading 2"/>
    <w:link w:val="706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06">
    <w:name w:val="Heading 2 Char"/>
    <w:link w:val="705"/>
    <w:uiPriority w:val="9"/>
    <w:rPr>
      <w:rFonts w:ascii="Arial" w:hAnsi="Arial" w:cs="Arial" w:eastAsia="Arial"/>
      <w:sz w:val="34"/>
    </w:rPr>
  </w:style>
  <w:style w:type="paragraph" w:styleId="707">
    <w:name w:val="Heading 3"/>
    <w:link w:val="708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08">
    <w:name w:val="Heading 3 Char"/>
    <w:link w:val="707"/>
    <w:uiPriority w:val="9"/>
    <w:rPr>
      <w:rFonts w:ascii="Arial" w:hAnsi="Arial" w:cs="Arial" w:eastAsia="Arial"/>
      <w:sz w:val="30"/>
      <w:szCs w:val="30"/>
    </w:rPr>
  </w:style>
  <w:style w:type="paragraph" w:styleId="709">
    <w:name w:val="Heading 4"/>
    <w:link w:val="710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0">
    <w:name w:val="Heading 4 Char"/>
    <w:link w:val="709"/>
    <w:uiPriority w:val="9"/>
    <w:rPr>
      <w:rFonts w:ascii="Arial" w:hAnsi="Arial" w:cs="Arial" w:eastAsia="Arial"/>
      <w:b/>
      <w:bCs/>
      <w:sz w:val="26"/>
      <w:szCs w:val="26"/>
    </w:rPr>
  </w:style>
  <w:style w:type="paragraph" w:styleId="711">
    <w:name w:val="Heading 5"/>
    <w:link w:val="712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2">
    <w:name w:val="Heading 5 Char"/>
    <w:link w:val="711"/>
    <w:uiPriority w:val="9"/>
    <w:rPr>
      <w:rFonts w:ascii="Arial" w:hAnsi="Arial" w:cs="Arial" w:eastAsia="Arial"/>
      <w:b/>
      <w:bCs/>
      <w:sz w:val="24"/>
      <w:szCs w:val="24"/>
    </w:rPr>
  </w:style>
  <w:style w:type="paragraph" w:styleId="713">
    <w:name w:val="Heading 6"/>
    <w:link w:val="714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4">
    <w:name w:val="Heading 6 Char"/>
    <w:link w:val="713"/>
    <w:uiPriority w:val="9"/>
    <w:rPr>
      <w:rFonts w:ascii="Arial" w:hAnsi="Arial" w:cs="Arial" w:eastAsia="Arial"/>
      <w:b/>
      <w:bCs/>
      <w:sz w:val="22"/>
      <w:szCs w:val="22"/>
    </w:rPr>
  </w:style>
  <w:style w:type="paragraph" w:styleId="715">
    <w:name w:val="Heading 7"/>
    <w:link w:val="716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16">
    <w:name w:val="Heading 7 Char"/>
    <w:link w:val="715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17">
    <w:name w:val="Heading 8"/>
    <w:link w:val="718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18">
    <w:name w:val="Heading 8 Char"/>
    <w:link w:val="717"/>
    <w:uiPriority w:val="9"/>
    <w:rPr>
      <w:rFonts w:ascii="Arial" w:hAnsi="Arial" w:cs="Arial" w:eastAsia="Arial"/>
      <w:i/>
      <w:iCs/>
      <w:sz w:val="22"/>
      <w:szCs w:val="22"/>
    </w:rPr>
  </w:style>
  <w:style w:type="paragraph" w:styleId="719">
    <w:name w:val="Heading 9"/>
    <w:link w:val="720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0">
    <w:name w:val="Heading 9 Char"/>
    <w:link w:val="719"/>
    <w:uiPriority w:val="9"/>
    <w:rPr>
      <w:rFonts w:ascii="Arial" w:hAnsi="Arial" w:cs="Arial" w:eastAsia="Arial"/>
      <w:i/>
      <w:iCs/>
      <w:sz w:val="21"/>
      <w:szCs w:val="21"/>
    </w:rPr>
  </w:style>
  <w:style w:type="paragraph" w:styleId="721">
    <w:name w:val="List Paragraph"/>
    <w:qFormat/>
    <w:uiPriority w:val="34"/>
    <w:pPr>
      <w:contextualSpacing w:val="true"/>
      <w:ind w:left="720"/>
    </w:pPr>
  </w:style>
  <w:style w:type="paragraph" w:styleId="722">
    <w:name w:val="No Spacing"/>
    <w:qFormat/>
    <w:uiPriority w:val="1"/>
    <w:pPr>
      <w:spacing w:lineRule="auto" w:line="240" w:after="0" w:before="0"/>
    </w:pPr>
  </w:style>
  <w:style w:type="paragraph" w:styleId="723">
    <w:name w:val="Title"/>
    <w:link w:val="724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4">
    <w:name w:val="Title Char"/>
    <w:link w:val="723"/>
    <w:uiPriority w:val="10"/>
    <w:rPr>
      <w:sz w:val="48"/>
      <w:szCs w:val="48"/>
    </w:rPr>
  </w:style>
  <w:style w:type="paragraph" w:styleId="725">
    <w:name w:val="Subtitle"/>
    <w:link w:val="726"/>
    <w:qFormat/>
    <w:uiPriority w:val="11"/>
    <w:rPr>
      <w:sz w:val="24"/>
      <w:szCs w:val="24"/>
    </w:rPr>
    <w:pPr>
      <w:spacing w:after="200" w:before="200"/>
    </w:pPr>
  </w:style>
  <w:style w:type="character" w:styleId="726">
    <w:name w:val="Subtitle Char"/>
    <w:link w:val="725"/>
    <w:uiPriority w:val="11"/>
    <w:rPr>
      <w:sz w:val="24"/>
      <w:szCs w:val="24"/>
    </w:rPr>
  </w:style>
  <w:style w:type="paragraph" w:styleId="727">
    <w:name w:val="Quote"/>
    <w:link w:val="728"/>
    <w:qFormat/>
    <w:uiPriority w:val="29"/>
    <w:rPr>
      <w:i/>
    </w:rPr>
    <w:pPr>
      <w:ind w:left="720" w:right="720"/>
    </w:pPr>
  </w:style>
  <w:style w:type="character" w:styleId="728">
    <w:name w:val="Quote Char"/>
    <w:link w:val="727"/>
    <w:uiPriority w:val="29"/>
    <w:rPr>
      <w:i/>
    </w:rPr>
  </w:style>
  <w:style w:type="paragraph" w:styleId="729">
    <w:name w:val="Intense Quote"/>
    <w:link w:val="730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0">
    <w:name w:val="Intense Quote Char"/>
    <w:link w:val="729"/>
    <w:uiPriority w:val="30"/>
    <w:rPr>
      <w:i/>
    </w:rPr>
  </w:style>
  <w:style w:type="paragraph" w:styleId="731">
    <w:name w:val="Header"/>
    <w:link w:val="732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2">
    <w:name w:val="Header Char"/>
    <w:link w:val="731"/>
    <w:uiPriority w:val="99"/>
  </w:style>
  <w:style w:type="paragraph" w:styleId="733">
    <w:name w:val="Footer"/>
    <w:link w:val="736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4">
    <w:name w:val="Footer Char"/>
    <w:link w:val="733"/>
    <w:uiPriority w:val="99"/>
  </w:style>
  <w:style w:type="paragraph" w:styleId="735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6">
    <w:name w:val="Caption Char"/>
    <w:basedOn w:val="735"/>
    <w:link w:val="733"/>
    <w:uiPriority w:val="99"/>
  </w:style>
  <w:style w:type="table" w:styleId="737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8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9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0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1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2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4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2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6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7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68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69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0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1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2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3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4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5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6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77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78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79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0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1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2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3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4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5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6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7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1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2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3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4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5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6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07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29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0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1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2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3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4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5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6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7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8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9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0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1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2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3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4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5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6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7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48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49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0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1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2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3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4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5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6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57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58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59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0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1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2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3">
    <w:name w:val="Hyperlink"/>
    <w:uiPriority w:val="99"/>
    <w:unhideWhenUsed/>
    <w:rPr>
      <w:color w:val="0000FF" w:themeColor="hyperlink"/>
      <w:u w:val="single"/>
    </w:rPr>
  </w:style>
  <w:style w:type="paragraph" w:styleId="864">
    <w:name w:val="footnote text"/>
    <w:link w:val="865"/>
    <w:uiPriority w:val="99"/>
    <w:semiHidden/>
    <w:unhideWhenUsed/>
    <w:rPr>
      <w:sz w:val="18"/>
    </w:rPr>
    <w:pPr>
      <w:spacing w:lineRule="auto" w:line="240" w:after="40"/>
    </w:pPr>
  </w:style>
  <w:style w:type="character" w:styleId="865">
    <w:name w:val="Footnote Text Char"/>
    <w:link w:val="864"/>
    <w:uiPriority w:val="99"/>
    <w:rPr>
      <w:sz w:val="18"/>
    </w:rPr>
  </w:style>
  <w:style w:type="character" w:styleId="866">
    <w:name w:val="footnote reference"/>
    <w:uiPriority w:val="99"/>
    <w:unhideWhenUsed/>
    <w:rPr>
      <w:vertAlign w:val="superscript"/>
    </w:rPr>
  </w:style>
  <w:style w:type="paragraph" w:styleId="867">
    <w:name w:val="endnote text"/>
    <w:link w:val="868"/>
    <w:uiPriority w:val="99"/>
    <w:semiHidden/>
    <w:unhideWhenUsed/>
    <w:rPr>
      <w:sz w:val="20"/>
    </w:rPr>
    <w:pPr>
      <w:spacing w:lineRule="auto" w:line="240" w:after="0"/>
    </w:pPr>
  </w:style>
  <w:style w:type="character" w:styleId="868">
    <w:name w:val="Endnote Text Char"/>
    <w:link w:val="867"/>
    <w:uiPriority w:val="99"/>
    <w:rPr>
      <w:sz w:val="20"/>
    </w:rPr>
  </w:style>
  <w:style w:type="character" w:styleId="869">
    <w:name w:val="endnote reference"/>
    <w:uiPriority w:val="99"/>
    <w:semiHidden/>
    <w:unhideWhenUsed/>
    <w:rPr>
      <w:vertAlign w:val="superscript"/>
    </w:rPr>
  </w:style>
  <w:style w:type="paragraph" w:styleId="870">
    <w:name w:val="toc 1"/>
    <w:uiPriority w:val="39"/>
    <w:unhideWhenUsed/>
    <w:pPr>
      <w:ind w:left="0" w:right="0" w:firstLine="0"/>
      <w:spacing w:after="57"/>
    </w:pPr>
  </w:style>
  <w:style w:type="paragraph" w:styleId="871">
    <w:name w:val="toc 2"/>
    <w:uiPriority w:val="39"/>
    <w:unhideWhenUsed/>
    <w:pPr>
      <w:ind w:left="283" w:right="0" w:firstLine="0"/>
      <w:spacing w:after="57"/>
    </w:pPr>
  </w:style>
  <w:style w:type="paragraph" w:styleId="872">
    <w:name w:val="toc 3"/>
    <w:uiPriority w:val="39"/>
    <w:unhideWhenUsed/>
    <w:pPr>
      <w:ind w:left="567" w:right="0" w:firstLine="0"/>
      <w:spacing w:after="57"/>
    </w:pPr>
  </w:style>
  <w:style w:type="paragraph" w:styleId="873">
    <w:name w:val="toc 4"/>
    <w:uiPriority w:val="39"/>
    <w:unhideWhenUsed/>
    <w:pPr>
      <w:ind w:left="850" w:right="0" w:firstLine="0"/>
      <w:spacing w:after="57"/>
    </w:pPr>
  </w:style>
  <w:style w:type="paragraph" w:styleId="874">
    <w:name w:val="toc 5"/>
    <w:uiPriority w:val="39"/>
    <w:unhideWhenUsed/>
    <w:pPr>
      <w:ind w:left="1134" w:right="0" w:firstLine="0"/>
      <w:spacing w:after="57"/>
    </w:pPr>
  </w:style>
  <w:style w:type="paragraph" w:styleId="875">
    <w:name w:val="toc 6"/>
    <w:uiPriority w:val="39"/>
    <w:unhideWhenUsed/>
    <w:pPr>
      <w:ind w:left="1417" w:right="0" w:firstLine="0"/>
      <w:spacing w:after="57"/>
    </w:pPr>
  </w:style>
  <w:style w:type="paragraph" w:styleId="876">
    <w:name w:val="toc 7"/>
    <w:uiPriority w:val="39"/>
    <w:unhideWhenUsed/>
    <w:pPr>
      <w:ind w:left="1701" w:right="0" w:firstLine="0"/>
      <w:spacing w:after="57"/>
    </w:pPr>
  </w:style>
  <w:style w:type="paragraph" w:styleId="877">
    <w:name w:val="toc 8"/>
    <w:uiPriority w:val="39"/>
    <w:unhideWhenUsed/>
    <w:pPr>
      <w:ind w:left="1984" w:right="0" w:firstLine="0"/>
      <w:spacing w:after="57"/>
    </w:pPr>
  </w:style>
  <w:style w:type="paragraph" w:styleId="878">
    <w:name w:val="toc 9"/>
    <w:uiPriority w:val="39"/>
    <w:unhideWhenUsed/>
    <w:pPr>
      <w:ind w:left="2268" w:right="0" w:firstLine="0"/>
      <w:spacing w:after="57"/>
    </w:pPr>
  </w:style>
  <w:style w:type="paragraph" w:styleId="879">
    <w:name w:val="TOC Heading"/>
    <w:uiPriority w:val="39"/>
    <w:unhideWhenUsed/>
  </w:style>
  <w:style w:type="paragraph" w:styleId="880">
    <w:name w:val="table of figures"/>
    <w:uiPriority w:val="99"/>
    <w:unhideWhenUsed/>
    <w:pPr>
      <w:spacing w:after="0" w:afterAutospacing="0"/>
    </w:pPr>
  </w:style>
  <w:style w:type="paragraph" w:styleId="881">
    <w:name w:val="Обычный"/>
    <w:next w:val="881"/>
    <w:link w:val="881"/>
    <w:rPr>
      <w:lang w:val="ru-RU" w:bidi="ar-SA" w:eastAsia="ru-RU"/>
    </w:rPr>
    <w:pPr>
      <w:widowControl w:val="off"/>
    </w:pPr>
  </w:style>
  <w:style w:type="character" w:styleId="882">
    <w:name w:val="Основной шрифт абзаца"/>
    <w:next w:val="882"/>
    <w:link w:val="881"/>
    <w:semiHidden/>
  </w:style>
  <w:style w:type="table" w:styleId="883">
    <w:name w:val="Обычная таблица"/>
    <w:next w:val="883"/>
    <w:link w:val="881"/>
    <w:semiHidden/>
    <w:tblPr/>
  </w:style>
  <w:style w:type="numbering" w:styleId="884">
    <w:name w:val="Нет списка"/>
    <w:next w:val="884"/>
    <w:link w:val="881"/>
    <w:semiHidden/>
  </w:style>
  <w:style w:type="paragraph" w:styleId="885">
    <w:name w:val="Текст выноски"/>
    <w:basedOn w:val="881"/>
    <w:next w:val="885"/>
    <w:link w:val="881"/>
    <w:semiHidden/>
    <w:rPr>
      <w:rFonts w:ascii="Tahoma" w:hAnsi="Tahoma"/>
      <w:sz w:val="16"/>
      <w:szCs w:val="16"/>
    </w:rPr>
  </w:style>
  <w:style w:type="paragraph" w:styleId="886">
    <w:name w:val="Верхний колонтитул"/>
    <w:basedOn w:val="881"/>
    <w:next w:val="886"/>
    <w:link w:val="897"/>
    <w:pPr>
      <w:tabs>
        <w:tab w:val="center" w:pos="4677" w:leader="none"/>
        <w:tab w:val="right" w:pos="9355" w:leader="none"/>
      </w:tabs>
    </w:pPr>
  </w:style>
  <w:style w:type="character" w:styleId="887">
    <w:name w:val="Номер страницы"/>
    <w:basedOn w:val="882"/>
    <w:next w:val="887"/>
    <w:link w:val="881"/>
  </w:style>
  <w:style w:type="table" w:styleId="888">
    <w:name w:val="Сетка таблицы"/>
    <w:basedOn w:val="883"/>
    <w:next w:val="888"/>
    <w:link w:val="881"/>
    <w:tblPr/>
  </w:style>
  <w:style w:type="paragraph" w:styleId="889">
    <w:name w:val="ConsPlusNormal"/>
    <w:next w:val="889"/>
    <w:link w:val="891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0">
    <w:name w:val="ConsPlusNonformat"/>
    <w:next w:val="890"/>
    <w:link w:val="881"/>
    <w:rPr>
      <w:rFonts w:ascii="Courier New" w:hAnsi="Courier New"/>
      <w:lang w:val="ru-RU" w:bidi="ar-SA" w:eastAsia="ru-RU"/>
    </w:rPr>
    <w:pPr>
      <w:widowControl w:val="off"/>
    </w:pPr>
  </w:style>
  <w:style w:type="character" w:styleId="891">
    <w:name w:val="ConsPlusNormal Знак"/>
    <w:next w:val="891"/>
    <w:link w:val="889"/>
    <w:rPr>
      <w:rFonts w:ascii="Arial" w:hAnsi="Arial"/>
      <w:lang w:val="ru-RU" w:bidi="ar-SA" w:eastAsia="ru-RU"/>
    </w:rPr>
  </w:style>
  <w:style w:type="paragraph" w:styleId="892">
    <w:name w:val="Название"/>
    <w:basedOn w:val="881"/>
    <w:next w:val="892"/>
    <w:link w:val="881"/>
    <w:rPr>
      <w:b/>
      <w:sz w:val="32"/>
    </w:rPr>
    <w:pPr>
      <w:jc w:val="center"/>
      <w:widowControl/>
    </w:pPr>
  </w:style>
  <w:style w:type="paragraph" w:styleId="893">
    <w:name w:val="Основной текст 3"/>
    <w:basedOn w:val="881"/>
    <w:next w:val="893"/>
    <w:link w:val="881"/>
    <w:rPr>
      <w:sz w:val="16"/>
      <w:szCs w:val="16"/>
    </w:rPr>
    <w:pPr>
      <w:spacing w:after="120"/>
      <w:widowControl/>
    </w:pPr>
  </w:style>
  <w:style w:type="character" w:styleId="894">
    <w:name w:val="Гиперссылка"/>
    <w:next w:val="894"/>
    <w:link w:val="881"/>
    <w:rPr>
      <w:color w:val="0000FF"/>
      <w:u w:val="single"/>
    </w:rPr>
  </w:style>
  <w:style w:type="paragraph" w:styleId="895">
    <w:name w:val="Обычный (веб)"/>
    <w:basedOn w:val="881"/>
    <w:next w:val="895"/>
    <w:link w:val="881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6">
    <w:name w:val="western"/>
    <w:basedOn w:val="881"/>
    <w:next w:val="896"/>
    <w:link w:val="881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897">
    <w:name w:val="Верхний колонтитул Знак"/>
    <w:next w:val="897"/>
    <w:link w:val="886"/>
    <w:rPr>
      <w:lang w:val="ru-RU" w:bidi="ar-SA" w:eastAsia="ru-RU"/>
    </w:rPr>
  </w:style>
  <w:style w:type="paragraph" w:styleId="898">
    <w:name w:val="Нижний колонтитул"/>
    <w:basedOn w:val="881"/>
    <w:next w:val="898"/>
    <w:link w:val="899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899">
    <w:name w:val="Нижний колонтитул Знак"/>
    <w:next w:val="899"/>
    <w:link w:val="898"/>
    <w:rPr>
      <w:sz w:val="28"/>
      <w:lang w:val="ru-RU" w:bidi="ar-SA" w:eastAsia="ru-RU"/>
    </w:rPr>
  </w:style>
  <w:style w:type="paragraph" w:styleId="900">
    <w:name w:val="Основной текст"/>
    <w:basedOn w:val="881"/>
    <w:next w:val="900"/>
    <w:link w:val="881"/>
    <w:pPr>
      <w:spacing w:after="120"/>
    </w:pPr>
  </w:style>
  <w:style w:type="paragraph" w:styleId="901">
    <w:name w:val="Основной текст с отступом"/>
    <w:basedOn w:val="881"/>
    <w:next w:val="901"/>
    <w:link w:val="881"/>
    <w:pPr>
      <w:ind w:left="283"/>
      <w:spacing w:after="120"/>
    </w:pPr>
  </w:style>
  <w:style w:type="paragraph" w:styleId="902">
    <w:name w:val="Основной текст с отступом 3"/>
    <w:basedOn w:val="881"/>
    <w:next w:val="902"/>
    <w:link w:val="881"/>
    <w:rPr>
      <w:sz w:val="16"/>
      <w:szCs w:val="16"/>
    </w:rPr>
    <w:pPr>
      <w:ind w:left="283"/>
      <w:spacing w:after="120"/>
    </w:pPr>
  </w:style>
  <w:style w:type="paragraph" w:styleId="903">
    <w:name w:val="ConsNonformat"/>
    <w:next w:val="903"/>
    <w:link w:val="881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4">
    <w:name w:val="ConsNormal"/>
    <w:next w:val="904"/>
    <w:link w:val="881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5">
    <w:name w:val="Таблицы (моноширинный)"/>
    <w:basedOn w:val="881"/>
    <w:next w:val="881"/>
    <w:link w:val="881"/>
    <w:rPr>
      <w:rFonts w:ascii="Courier New" w:hAnsi="Courier New"/>
    </w:rPr>
    <w:pPr>
      <w:jc w:val="both"/>
    </w:pPr>
  </w:style>
  <w:style w:type="character" w:styleId="906">
    <w:name w:val="Основной текст2"/>
    <w:next w:val="906"/>
    <w:link w:val="881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07">
    <w:name w:val="ConsPlusTitle"/>
    <w:next w:val="907"/>
    <w:link w:val="881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character" w:styleId="908" w:default="1">
    <w:name w:val="Default Paragraph Font"/>
    <w:uiPriority w:val="1"/>
    <w:semiHidden/>
    <w:unhideWhenUsed/>
  </w:style>
  <w:style w:type="numbering" w:styleId="909" w:default="1">
    <w:name w:val="No List"/>
    <w:uiPriority w:val="99"/>
    <w:semiHidden/>
    <w:unhideWhenUsed/>
  </w:style>
  <w:style w:type="paragraph" w:styleId="910" w:default="1">
    <w:name w:val="Normal"/>
    <w:qFormat/>
  </w:style>
  <w:style w:type="table" w:styleId="91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11</cp:revision>
  <dcterms:modified xsi:type="dcterms:W3CDTF">2025-06-23T07:14:52Z</dcterms:modified>
</cp:coreProperties>
</file>