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городского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городского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Выполняет иные поручения главы администрации Новооскольского городского круга в пределах полномочий, установленных законодательством.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городского округа и поручений главы администрации Новооскольского городского округа;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Осуществляет прием, обработку и контроль за исполнением корреспонденции и поручений Губернатора Белгородской области и его заместителей, поступающих через ПУВП РИАС («Мотив»).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Участвует в организации антикоррупционной работы в администрации Новооскольского городского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 xml:space="preserve">Соблюдает установленные правила информационной безопасности.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2024-08-29T14:36:31Z</dcterms:modified>
</cp:coreProperties>
</file>