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708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 w:right="-108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Стратегии </w:t>
            </w:r>
            <w:r>
              <w:rPr>
                <w:sz w:val="24"/>
                <w:szCs w:val="24"/>
                <w:lang w:val="ru-RU"/>
              </w:rPr>
              <w:t xml:space="preserve">устойчивого развития</w:t>
            </w:r>
            <w:r>
              <w:rPr>
                <w:sz w:val="24"/>
                <w:szCs w:val="24"/>
                <w:lang w:val="ru-RU"/>
              </w:rPr>
              <w:t xml:space="preserve"> сельских территорий Российской </w:t>
            </w:r>
            <w:r>
              <w:rPr>
                <w:sz w:val="24"/>
                <w:szCs w:val="24"/>
                <w:lang w:val="ru-RU"/>
              </w:rPr>
              <w:t xml:space="preserve">Федерации на период до 2030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городского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2024-08-29T12:58:18Z</dcterms:modified>
</cp:coreProperties>
</file>