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 – бакалавриат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городского округа;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законодательства о противодействию коррупции;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навыки и организации личного труда;</w:t>
            </w:r>
            <w:r/>
          </w:p>
          <w:p>
            <w:pPr>
              <w:pStyle w:val="9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навыки планирования рабочего времени;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86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86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86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86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86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86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городскому округу;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городского округа. Осуществляет подготовку к участию команд Новооскольского городского округа в региональных этапах данных соревнований;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86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86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проведен</w:t>
      </w:r>
      <w:r>
        <w:rPr>
          <w:sz w:val="24"/>
          <w:szCs w:val="24"/>
        </w:rPr>
        <w:t xml:space="preserve">ие анализа проектов нормативных правовых актов администрации Новооскольского городского округа, подготовленных управлением образования администрации Новооскольского городского округа, на предмет выявления рисков нарушения антимонопольного законодательства;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6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городского округа.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86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2024-08-29T12:56:38Z</dcterms:modified>
</cp:coreProperties>
</file>