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84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884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884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Информационное сообщение  о проведении 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повторного конкурс</w:t>
      </w:r>
      <w:r>
        <w:rPr>
          <w:b/>
          <w:sz w:val="28"/>
          <w:szCs w:val="28"/>
        </w:rPr>
        <w:t xml:space="preserve">а</w:t>
      </w:r>
      <w:r>
        <w:rPr>
          <w:b/>
          <w:sz w:val="28"/>
          <w:szCs w:val="28"/>
        </w:rPr>
      </w:r>
      <w:r/>
    </w:p>
    <w:p>
      <w:pPr>
        <w:pStyle w:val="884"/>
        <w:ind w:firstLine="7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884"/>
        <w:ind w:firstLine="720"/>
        <w:jc w:val="center"/>
        <w:rPr>
          <w:sz w:val="24"/>
          <w:szCs w:val="24"/>
        </w:rPr>
      </w:pPr>
      <w:r>
        <w:rPr>
          <w:sz w:val="24"/>
          <w:szCs w:val="24"/>
        </w:rPr>
      </w:r>
      <w:r/>
    </w:p>
    <w:p>
      <w:pPr>
        <w:pStyle w:val="893"/>
        <w:ind w:firstLine="720"/>
        <w:jc w:val="both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Администрация </w:t>
      </w:r>
      <w:r>
        <w:rPr>
          <w:rFonts w:ascii="Times New Roman" w:hAnsi="Times New Roman"/>
          <w:sz w:val="24"/>
          <w:szCs w:val="24"/>
        </w:rPr>
        <w:t xml:space="preserve">Новооскольского городского округа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объявляет о проведении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повторного </w:t>
      </w:r>
      <w:r>
        <w:rPr>
          <w:rFonts w:ascii="Times New Roman" w:hAnsi="Times New Roman"/>
          <w:sz w:val="24"/>
          <w:szCs w:val="24"/>
        </w:rPr>
        <w:t xml:space="preserve">конкурс</w:t>
      </w:r>
      <w:r>
        <w:rPr>
          <w:rFonts w:ascii="Times New Roman" w:hAnsi="Times New Roman"/>
          <w:sz w:val="24"/>
          <w:szCs w:val="24"/>
        </w:rPr>
        <w:t xml:space="preserve">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на замещение вакант</w:t>
      </w:r>
      <w:r>
        <w:rPr>
          <w:rFonts w:ascii="Times New Roman" w:hAnsi="Times New Roman"/>
          <w:sz w:val="24"/>
          <w:szCs w:val="24"/>
        </w:rPr>
        <w:t xml:space="preserve">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должност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муниципальной службы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–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6"/>
        </w:rPr>
        <w:t xml:space="preserve">главного специалиста </w:t>
      </w:r>
      <w:r>
        <w:rPr>
          <w:rFonts w:ascii="Times New Roman" w:hAnsi="Times New Roman"/>
          <w:sz w:val="24"/>
          <w:szCs w:val="26"/>
        </w:rPr>
        <w:t xml:space="preserve">отдела муниципального контроля управления городского хозяйства </w:t>
      </w:r>
      <w:r>
        <w:rPr>
          <w:rFonts w:ascii="Times New Roman" w:hAnsi="Times New Roman"/>
          <w:sz w:val="24"/>
          <w:szCs w:val="24"/>
        </w:rPr>
        <w:t xml:space="preserve">администрации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Новооскол</w:t>
      </w:r>
      <w:r>
        <w:rPr>
          <w:rFonts w:ascii="Times New Roman" w:hAnsi="Times New Roman"/>
          <w:sz w:val="24"/>
          <w:szCs w:val="24"/>
        </w:rPr>
        <w:t xml:space="preserve">ьского</w:t>
      </w:r>
      <w:r>
        <w:rPr>
          <w:rFonts w:ascii="Times New Roman" w:hAnsi="Times New Roman"/>
          <w:sz w:val="24"/>
          <w:szCs w:val="24"/>
        </w:rPr>
        <w:t xml:space="preserve"> городского округа</w:t>
      </w:r>
      <w:r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84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Гражданином на конкурс представляются следующие документы:</w:t>
      </w:r>
      <w:r>
        <w:rPr>
          <w:sz w:val="24"/>
          <w:szCs w:val="24"/>
        </w:rPr>
      </w:r>
      <w:r/>
    </w:p>
    <w:p>
      <w:pPr>
        <w:pStyle w:val="89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а) личное заявление на имя представителя нанимателя;</w:t>
      </w:r>
      <w:r/>
    </w:p>
    <w:p>
      <w:pPr>
        <w:pStyle w:val="89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б) заполненную и подписанную анкету по форме, утвержденной Правительством Российской Федерации, с фотографией;</w:t>
      </w:r>
      <w:r/>
    </w:p>
    <w:p>
      <w:pPr>
        <w:pStyle w:val="89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в) копию паспорта или заменяющего его документа (соответствующий документ предъявляется лично по прибытии на конкурс);</w:t>
      </w:r>
      <w:r/>
    </w:p>
    <w:p>
      <w:pPr>
        <w:pStyle w:val="89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г) документы, подтверждающие необходимое профессиональное образование, квалификацию и стаж работы:</w:t>
      </w:r>
      <w:r/>
    </w:p>
    <w:p>
      <w:pPr>
        <w:pStyle w:val="89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копию </w:t>
      </w:r>
      <w:r>
        <w:rPr>
          <w:rFonts w:ascii="Times New Roman" w:hAnsi="Times New Roman"/>
          <w:sz w:val="24"/>
          <w:szCs w:val="24"/>
        </w:rPr>
        <w:t xml:space="preserve">трудовой книжки (за исключением случаев, когда служебная (трудовая) деятельность осуществляется впервые), заверенную нотариально или кадровой службой по месту работы (службы), или иные документы, подтверждающие трудовую (служебную) деятельность гражданина;</w:t>
      </w:r>
      <w:r/>
    </w:p>
    <w:p>
      <w:pPr>
        <w:pStyle w:val="89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копии документов об образовании и о квалификации, а также по желанию гражданина ко</w:t>
      </w:r>
      <w:r>
        <w:rPr>
          <w:rFonts w:ascii="Times New Roman" w:hAnsi="Times New Roman"/>
          <w:sz w:val="24"/>
          <w:szCs w:val="24"/>
        </w:rPr>
        <w:t xml:space="preserve">пии документов, подтверждающих повышение или присвоение квалификации по результатам дополнительного профессионального образования, документов о присвоении ученой степени, ученого звания, заверенные нотариально или кадровой службой по месту работы (службы).</w:t>
      </w:r>
      <w:r/>
    </w:p>
    <w:p>
      <w:pPr>
        <w:pStyle w:val="89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д) документ об отсутствии у гражданина заболевания, препятствующего поступлению на муниципальную службу или ее прохождению (форма 001-ГС/у);</w:t>
      </w:r>
      <w:r/>
    </w:p>
    <w:p>
      <w:pPr>
        <w:pStyle w:val="89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е) сведения о своих доходах, расходах, об имуществе и обязательствах имущественного характера, а также о доходах, расходах, об имуществе и обязательствах имущественного характера членов своей семьи;</w:t>
      </w:r>
      <w:r/>
    </w:p>
    <w:p>
      <w:pPr>
        <w:pStyle w:val="89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ж) сведения об адресах сайтов и (или) страниц сайтов в информационно-телекоммуникационной сети Интернет, на которых гражданин, претендующий на замещение должности муниципальной службы, размещал общедоступ</w:t>
      </w:r>
      <w:r>
        <w:rPr>
          <w:rFonts w:ascii="Times New Roman" w:hAnsi="Times New Roman"/>
          <w:sz w:val="24"/>
          <w:szCs w:val="24"/>
        </w:rPr>
        <w:t xml:space="preserve">ную  информацию, а также данные, позволяющие его идентифицировать, по форме, утвержденной распоряжением  Правительства Российской Федерации от 28 декабря 2016 года № 2867-р, за  три календарных года, предшествующих году поступления на муниципальную службу;</w:t>
      </w:r>
      <w:r/>
    </w:p>
    <w:p>
      <w:pPr>
        <w:pStyle w:val="89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з) иные документы, пр</w:t>
      </w:r>
      <w:r>
        <w:rPr>
          <w:rFonts w:ascii="Times New Roman" w:hAnsi="Times New Roman"/>
          <w:sz w:val="24"/>
          <w:szCs w:val="24"/>
        </w:rPr>
        <w:t xml:space="preserve">едусмотренные Федеральным законом от 02 марта 2007 года                    № 25-ФЗ «О муниципальной службе в Российской Федерации», другими федеральными законами, указами Президента Российской Федерации и постановлениями Правительства Российской Федерации.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Муниципальный служащий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администрации </w:t>
      </w:r>
      <w:r>
        <w:rPr>
          <w:rFonts w:ascii="Times New Roman" w:hAnsi="Times New Roman"/>
          <w:sz w:val="24"/>
          <w:szCs w:val="24"/>
        </w:rPr>
        <w:t xml:space="preserve">Новооскольского городского округа</w:t>
      </w:r>
      <w: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  желание  участвовать  в  конкурсе,  подает  заявление  на  имя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представителя нанимателя.</w:t>
      </w:r>
      <w:r/>
    </w:p>
    <w:p>
      <w:pPr>
        <w:pStyle w:val="89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 xml:space="preserve">        Муниципальный</w:t>
      </w:r>
      <w:r>
        <w:rPr>
          <w:rFonts w:ascii="Times New Roman" w:hAnsi="Times New Roman"/>
          <w:sz w:val="24"/>
          <w:szCs w:val="24"/>
        </w:rPr>
        <w:t xml:space="preserve">  служащий  иного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желание участвовать в конкурсе, представляет в</w:t>
      </w:r>
      <w:r>
        <w:rPr>
          <w:rFonts w:ascii="Times New Roman" w:hAnsi="Times New Roman"/>
          <w:sz w:val="24"/>
          <w:szCs w:val="24"/>
        </w:rPr>
        <w:t xml:space="preserve"> администраци</w:t>
      </w:r>
      <w:r>
        <w:rPr>
          <w:rFonts w:ascii="Times New Roman" w:hAnsi="Times New Roman"/>
          <w:sz w:val="24"/>
          <w:szCs w:val="24"/>
        </w:rPr>
        <w:t xml:space="preserve">ю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Новооскольского городского округа</w:t>
      </w:r>
      <w:r>
        <w:rPr>
          <w:rFonts w:ascii="Times New Roman" w:hAnsi="Times New Roman"/>
          <w:sz w:val="24"/>
          <w:szCs w:val="24"/>
        </w:rPr>
        <w:t xml:space="preserve">, заявление на имя представителя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нанимателя и собственноручно заполненную, подписанную и заверенную кадровой</w:t>
      </w:r>
      <w:r>
        <w:rPr>
          <w:rFonts w:ascii="Times New Roman" w:hAnsi="Times New Roman"/>
          <w:sz w:val="24"/>
          <w:szCs w:val="24"/>
        </w:rPr>
        <w:t xml:space="preserve"> службой</w:t>
      </w:r>
      <w:r>
        <w:rPr>
          <w:rFonts w:ascii="Times New Roman" w:hAnsi="Times New Roman"/>
          <w:sz w:val="24"/>
          <w:szCs w:val="24"/>
        </w:rPr>
        <w:t xml:space="preserve">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котором  </w:t>
      </w:r>
      <w:r>
        <w:rPr>
          <w:rFonts w:ascii="Times New Roman" w:hAnsi="Times New Roman"/>
          <w:sz w:val="24"/>
          <w:szCs w:val="24"/>
        </w:rPr>
        <w:t xml:space="preserve">муниципальный  служащий  замещает  </w:t>
      </w:r>
      <w:r>
        <w:rPr>
          <w:rFonts w:ascii="Times New Roman" w:hAnsi="Times New Roman"/>
          <w:sz w:val="24"/>
          <w:szCs w:val="24"/>
        </w:rPr>
        <w:t xml:space="preserve">должность  </w:t>
      </w:r>
      <w:r>
        <w:rPr>
          <w:rFonts w:ascii="Times New Roman" w:hAnsi="Times New Roman"/>
          <w:sz w:val="24"/>
          <w:szCs w:val="24"/>
        </w:rPr>
        <w:t xml:space="preserve">муниципальной </w:t>
      </w:r>
      <w:r>
        <w:rPr>
          <w:rFonts w:ascii="Times New Roman" w:hAnsi="Times New Roman"/>
          <w:sz w:val="24"/>
          <w:szCs w:val="24"/>
        </w:rPr>
        <w:t xml:space="preserve"> службы, анкету с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приложением фотографии.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84"/>
        <w:jc w:val="left"/>
        <w:rPr>
          <w:b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</w:r>
      <w:r>
        <w:rPr>
          <w:b/>
          <w:bCs/>
          <w:color w:val="000000"/>
          <w:sz w:val="24"/>
          <w:szCs w:val="24"/>
        </w:rPr>
      </w:r>
      <w:r/>
    </w:p>
    <w:p>
      <w:pPr>
        <w:pStyle w:val="884"/>
        <w:jc w:val="left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</w:r>
      <w:r/>
    </w:p>
    <w:p>
      <w:pPr>
        <w:pStyle w:val="884"/>
        <w:jc w:val="center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 xml:space="preserve">Квалификационные требования к образованию и стажу (опыту) работы по специальности</w:t>
      </w:r>
      <w:r/>
    </w:p>
    <w:p>
      <w:pPr>
        <w:pStyle w:val="884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0"/>
        <w:gridCol w:w="2809"/>
        <w:gridCol w:w="6378"/>
      </w:tblGrid>
      <w:tr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b/>
                <w:color w:val="000000"/>
                <w:sz w:val="24"/>
                <w:szCs w:val="24"/>
              </w:rPr>
            </w:r>
            <w:r/>
          </w:p>
        </w:tc>
        <w:tc>
          <w:tcPr>
            <w:tcW w:w="2809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</w:t>
            </w:r>
            <w:r/>
          </w:p>
          <w:p>
            <w:pPr>
              <w:pStyle w:val="88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378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Требования к образованию</w:t>
            </w:r>
            <w:r>
              <w:rPr>
                <w:color w:val="000000"/>
                <w:sz w:val="24"/>
                <w:szCs w:val="24"/>
              </w:rPr>
            </w:r>
            <w:r/>
          </w:p>
          <w:p>
            <w:pPr>
              <w:pStyle w:val="88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и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к стажу (опыту) работы по специальности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2036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8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Borders>
              <w:bottom w:val="single" w:color="000000" w:sz="4" w:space="0"/>
            </w:tcBorders>
            <w:tcW w:w="2809" w:type="dxa"/>
            <w:vAlign w:val="top"/>
            <w:textDirection w:val="lrTb"/>
            <w:noWrap w:val="false"/>
          </w:tcPr>
          <w:p>
            <w:pPr>
              <w:pStyle w:val="88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6"/>
              </w:rPr>
              <w:t xml:space="preserve">главный специалист </w:t>
            </w:r>
            <w:r>
              <w:rPr>
                <w:rFonts w:ascii="Times New Roman" w:hAnsi="Times New Roman"/>
                <w:sz w:val="24"/>
                <w:szCs w:val="26"/>
              </w:rPr>
              <w:t xml:space="preserve">отдела муниципального контроля управления городского хозяйства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администрации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Новооскол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ьского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городского округа</w:t>
            </w:r>
            <w:r>
              <w:rPr>
                <w:sz w:val="24"/>
                <w:szCs w:val="24"/>
              </w:rPr>
            </w:r>
            <w:r/>
          </w:p>
          <w:p>
            <w:pPr>
              <w:pStyle w:val="884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Borders>
              <w:bottom w:val="single" w:color="000000" w:sz="4" w:space="0"/>
            </w:tcBorders>
            <w:tcW w:w="6378" w:type="dxa"/>
            <w:vAlign w:val="top"/>
            <w:textDirection w:val="lrTb"/>
            <w:noWrap w:val="false"/>
          </w:tcPr>
          <w:p>
            <w:pPr>
              <w:pStyle w:val="88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</w:t>
            </w:r>
            <w:r>
              <w:rPr>
                <w:sz w:val="24"/>
                <w:szCs w:val="24"/>
              </w:rPr>
              <w:t xml:space="preserve">Наличие высшего образования без предъявления требований к стажу муниципальной службы или работы по специальности, направлению подготовки;</w:t>
            </w:r>
            <w:r/>
          </w:p>
          <w:p>
            <w:pPr>
              <w:pStyle w:val="884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>
              <w:rPr>
                <w:sz w:val="24"/>
                <w:szCs w:val="24"/>
              </w:rPr>
              <w:t xml:space="preserve">     Квалификационные требования к знаниям и умениям, которые необходимы для исполнения должностных обязанностей, устанавливаются в зависимости от области и вида профессиональной служебной деятельности муниципального служащего его должностной  инструкцией.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</w:tbl>
    <w:p>
      <w:pPr>
        <w:pStyle w:val="884"/>
        <w:tabs>
          <w:tab w:val="left" w:pos="6555" w:leader="none"/>
        </w:tabs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ab/>
      </w:r>
      <w:r>
        <w:rPr>
          <w:b/>
          <w:bCs/>
          <w:color w:val="000000"/>
          <w:sz w:val="24"/>
          <w:szCs w:val="24"/>
        </w:rPr>
      </w:r>
      <w:r/>
    </w:p>
    <w:p>
      <w:pPr>
        <w:pStyle w:val="884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Квалификационные требования</w:t>
      </w:r>
      <w:r/>
    </w:p>
    <w:p>
      <w:pPr>
        <w:pStyle w:val="884"/>
        <w:jc w:val="center"/>
        <w:rPr>
          <w:b/>
          <w:bCs/>
          <w:color w:val="000000"/>
          <w:sz w:val="24"/>
          <w:szCs w:val="24"/>
        </w:rPr>
      </w:pPr>
      <w:r>
        <w:rPr>
          <w:b/>
          <w:sz w:val="24"/>
          <w:szCs w:val="24"/>
        </w:rPr>
        <w:t xml:space="preserve">к профессиональным знаниям и навыкам, необходимым для исполнения должностных обязанностей муниципальными служащими  </w:t>
      </w:r>
      <w:r>
        <w:rPr>
          <w:b/>
          <w:bCs/>
          <w:color w:val="000000"/>
          <w:sz w:val="24"/>
          <w:szCs w:val="24"/>
        </w:rPr>
      </w:r>
      <w:r/>
    </w:p>
    <w:p>
      <w:pPr>
        <w:pStyle w:val="884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675"/>
        <w:gridCol w:w="2127"/>
        <w:gridCol w:w="6945"/>
      </w:tblGrid>
      <w:tr>
        <w:trPr/>
        <w:tc>
          <w:tcPr>
            <w:tcW w:w="675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27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 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945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Требованиями к общим профессиональным знаниям и навыкам  (компетенциям)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466"/>
        </w:trPr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8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/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pStyle w:val="88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6"/>
              </w:rPr>
              <w:t xml:space="preserve">главный специалист </w:t>
            </w:r>
            <w:r>
              <w:rPr>
                <w:rFonts w:ascii="Times New Roman" w:hAnsi="Times New Roman"/>
                <w:sz w:val="24"/>
                <w:szCs w:val="26"/>
              </w:rPr>
              <w:t xml:space="preserve">отдела муниципального контроля управления городского хозяйства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администрации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Новооскол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ьского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городского округа</w:t>
            </w:r>
            <w:r>
              <w:rPr>
                <w:sz w:val="24"/>
                <w:szCs w:val="24"/>
              </w:rPr>
            </w:r>
            <w:r/>
          </w:p>
          <w:p>
            <w:pPr>
              <w:pStyle w:val="884"/>
              <w:ind w:firstLine="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945" w:type="dxa"/>
            <w:vAlign w:val="top"/>
            <w:textDirection w:val="lrTb"/>
            <w:noWrap w:val="false"/>
          </w:tcPr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1) знание государственного языка Российской Федерации (русского языка);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2) правовыми знаниями основ: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а) Конституции Российской Федерации;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б) Федерального закона от 6 октября 2003 года №131-ФЗ «Об общих принципах организации местного самоуправления в Российской Федерации»;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в) Федерального закона</w:t>
            </w:r>
            <w:r>
              <w:rPr>
                <w:sz w:val="24"/>
                <w:szCs w:val="24"/>
              </w:rPr>
              <w:t xml:space="preserve"> от 2 марта 2007 года № 25-ФЗ    «</w:t>
            </w:r>
            <w:r>
              <w:rPr>
                <w:sz w:val="24"/>
                <w:szCs w:val="24"/>
              </w:rPr>
              <w:t xml:space="preserve">О муниципальной службе в Российской Федерации»;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г) законодательства о противодействии коррупции;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д) закона Белгородской области от 24 сентября 2007 года № 150 «Об особенностях организации муниципальной службы в Белгородской области».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3) работать на компьютере, в том числе в сети «Интернет»;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4) работать в информационно-правовых системах;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5) эффективно планировать работу и контролировать ее выполнение;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6) оперативно принимать и реализовывать управленческие решения;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7) взаимодействовать с представителями государственных органов, органов местного самоуправления, организаций;</w:t>
            </w:r>
            <w:r/>
          </w:p>
          <w:p>
            <w:pPr>
              <w:pStyle w:val="884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8) соблюдать этику делового общения при взаимодействии с гражданами.</w:t>
            </w: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pStyle w:val="8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6945" w:type="dxa"/>
            <w:vAlign w:val="top"/>
            <w:textDirection w:val="lrTb"/>
            <w:noWrap w:val="false"/>
          </w:tcPr>
          <w:p>
            <w:pPr>
              <w:pStyle w:val="884"/>
              <w:jc w:val="center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Требованиями к специальным профессиональным знаниям и навыкам (компетенциям), предъявляемыми к муниципальным служащим, замещающим должности муниципальной  службы</w:t>
            </w: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8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pStyle w:val="88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6"/>
              </w:rPr>
              <w:t xml:space="preserve">главный специалист </w:t>
            </w:r>
            <w:r>
              <w:rPr>
                <w:rFonts w:ascii="Times New Roman" w:hAnsi="Times New Roman"/>
                <w:sz w:val="24"/>
                <w:szCs w:val="26"/>
              </w:rPr>
              <w:t xml:space="preserve">отдела муниципального контроля управления городского хозяйства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администрации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Новооскол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ьского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городского округа</w:t>
            </w:r>
            <w:r>
              <w:rPr>
                <w:sz w:val="24"/>
                <w:szCs w:val="24"/>
              </w:rPr>
            </w:r>
            <w:r/>
          </w:p>
          <w:p>
            <w:pPr>
              <w:pStyle w:val="884"/>
              <w:ind w:firstLine="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945" w:type="dxa"/>
            <w:vAlign w:val="top"/>
            <w:textDirection w:val="lrTb"/>
            <w:noWrap w:val="false"/>
          </w:tcPr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а) Федеральные законы и иные федеральные нормативные правовые акты: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Федеральный закон «О государственном контроле (надзоре) и муниципальном контроле в Российской Федерации» от 31 июля 2020 года № 248-ФЗ;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«Жилищный кодекс Российской Федерации» от </w:t>
            </w:r>
            <w:r>
              <w:rPr>
                <w:sz w:val="24"/>
                <w:szCs w:val="24"/>
              </w:rPr>
              <w:t xml:space="preserve">             </w:t>
            </w:r>
            <w:r>
              <w:rPr>
                <w:sz w:val="24"/>
                <w:szCs w:val="24"/>
              </w:rPr>
              <w:t xml:space="preserve">29 декабря 2004 № 188-ФЗ;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Федеральный закон «О противодействии коррупции» от 25 декабря 2008 года № 273-ФЗ;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Приказ Министерства Экономического развития Российской Федерации от  31 марта 2021 года № 151 </w:t>
            </w:r>
            <w:r>
              <w:rPr>
                <w:sz w:val="24"/>
                <w:szCs w:val="24"/>
              </w:rPr>
              <w:t xml:space="preserve">                 </w:t>
            </w:r>
            <w:r>
              <w:rPr>
                <w:sz w:val="24"/>
                <w:szCs w:val="24"/>
              </w:rPr>
              <w:t xml:space="preserve">«О типовых формах документов, используемых контрольным (надзорным) органом»;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Постановление Правительства</w:t>
            </w:r>
            <w:r>
              <w:rPr>
                <w:sz w:val="24"/>
                <w:szCs w:val="24"/>
              </w:rPr>
              <w:t xml:space="preserve"> Российской Федерации от 07 декабря 2020 года №2041 «Об утверждении требований к подготовке докладов о видах государственного контроля (надзора), муниципального контроля и свободного доклада о государственном контроле (надзоре), муниципальном контроле РФ»;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б) Закон Белгородской области от 08 апреля 2013 года </w:t>
            </w:r>
            <w:r>
              <w:rPr>
                <w:sz w:val="24"/>
                <w:szCs w:val="24"/>
              </w:rPr>
              <w:t xml:space="preserve">   </w:t>
            </w:r>
            <w:r>
              <w:rPr>
                <w:sz w:val="24"/>
                <w:szCs w:val="24"/>
              </w:rPr>
              <w:t xml:space="preserve">№ 192 «О муниципальном жилищном контроле и взаимодействии органов муниципального жилищного контроля с органами государственного жилищного надзора Белгородской области»;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Закон Белгородской области от 04 июля 2002 года № 35 «Об административных правонарушениях на территории Белгородской области»;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в) муниципальные правовые акты: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Решение Совета депутатов Новооскольского городского округа от 27 ноября 2018 года № 66 «Об утверждении Правил благоустройства территории  Новооскольского городского округа»;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Решение Совета депутатов Новооскольского городского округа от 24 ноября 2020 года № 539 «Об утверждении Порядка осуществления муниципального жилищного контроля на территории Новооскольского городского округа»;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Решение Совета депутатов Новооскольского городского округа от 28 сентября 2021 года № 649 « Об утверждении Положения о муниципальном контроле в сфере благоустройства на территории Новооскольского городского округа»;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Решение Совета депутатов Новооскольского городского округа от 22 февраля 2022 года № 723 «Об утверждении Правил содержания нежилых сооружений, малых архитектурных форм, садово-парковой мебели на территории Нов</w:t>
            </w:r>
            <w:r>
              <w:rPr>
                <w:sz w:val="24"/>
                <w:szCs w:val="24"/>
              </w:rPr>
              <w:t xml:space="preserve">ооскольского городского округа».</w:t>
            </w:r>
            <w:r>
              <w:rPr>
                <w:sz w:val="24"/>
                <w:szCs w:val="24"/>
              </w:rPr>
            </w:r>
            <w:r/>
          </w:p>
        </w:tc>
      </w:tr>
    </w:tbl>
    <w:p>
      <w:pPr>
        <w:pStyle w:val="884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со статьей 12 Федерального закона от 02 марта 2007 года  № 25-ФЗ </w:t>
      </w:r>
      <w:r>
        <w:rPr>
          <w:sz w:val="24"/>
          <w:szCs w:val="24"/>
        </w:rPr>
        <w:t xml:space="preserve">                </w:t>
      </w:r>
      <w:r>
        <w:rPr>
          <w:sz w:val="24"/>
          <w:szCs w:val="24"/>
        </w:rPr>
        <w:t xml:space="preserve">«О муниципальной службе в Российской Федерации» муниципальный служащий обязан:</w:t>
      </w:r>
      <w:r/>
    </w:p>
    <w:p>
      <w:pPr>
        <w:pStyle w:val="893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7"/>
        </w:rPr>
        <w:t xml:space="preserve">- </w:t>
      </w:r>
      <w:r>
        <w:rPr>
          <w:rFonts w:ascii="Times New Roman" w:hAnsi="Times New Roman"/>
          <w:sz w:val="24"/>
          <w:szCs w:val="27"/>
        </w:rPr>
        <w:t xml:space="preserve">о</w:t>
      </w:r>
      <w:r>
        <w:rPr>
          <w:rFonts w:ascii="Times New Roman" w:hAnsi="Times New Roman"/>
          <w:sz w:val="24"/>
          <w:szCs w:val="27"/>
        </w:rPr>
        <w:t xml:space="preserve">существл</w:t>
      </w:r>
      <w:r>
        <w:rPr>
          <w:rFonts w:ascii="Times New Roman" w:hAnsi="Times New Roman"/>
          <w:sz w:val="24"/>
          <w:szCs w:val="27"/>
        </w:rPr>
        <w:t xml:space="preserve">ение</w:t>
      </w:r>
      <w:r>
        <w:rPr>
          <w:rFonts w:ascii="Times New Roman" w:hAnsi="Times New Roman"/>
          <w:sz w:val="24"/>
          <w:szCs w:val="27"/>
        </w:rPr>
        <w:t xml:space="preserve"> муниципальн</w:t>
      </w:r>
      <w:r>
        <w:rPr>
          <w:rFonts w:ascii="Times New Roman" w:hAnsi="Times New Roman"/>
          <w:sz w:val="24"/>
          <w:szCs w:val="27"/>
        </w:rPr>
        <w:t xml:space="preserve">ого</w:t>
      </w:r>
      <w:r>
        <w:rPr>
          <w:rFonts w:ascii="Times New Roman" w:hAnsi="Times New Roman"/>
          <w:sz w:val="24"/>
          <w:szCs w:val="27"/>
        </w:rPr>
        <w:t xml:space="preserve"> жилищн</w:t>
      </w:r>
      <w:r>
        <w:rPr>
          <w:rFonts w:ascii="Times New Roman" w:hAnsi="Times New Roman"/>
          <w:sz w:val="24"/>
          <w:szCs w:val="27"/>
        </w:rPr>
        <w:t xml:space="preserve">ого</w:t>
      </w:r>
      <w:r>
        <w:rPr>
          <w:rFonts w:ascii="Times New Roman" w:hAnsi="Times New Roman"/>
          <w:sz w:val="24"/>
          <w:szCs w:val="27"/>
        </w:rPr>
        <w:t xml:space="preserve"> контрол</w:t>
      </w:r>
      <w:r>
        <w:rPr>
          <w:rFonts w:ascii="Times New Roman" w:hAnsi="Times New Roman"/>
          <w:sz w:val="24"/>
          <w:szCs w:val="27"/>
        </w:rPr>
        <w:t xml:space="preserve">я</w:t>
      </w:r>
      <w:r>
        <w:rPr>
          <w:rFonts w:ascii="Times New Roman" w:hAnsi="Times New Roman"/>
          <w:sz w:val="24"/>
          <w:szCs w:val="27"/>
        </w:rPr>
        <w:t xml:space="preserve">,</w:t>
      </w:r>
      <w:r>
        <w:rPr>
          <w:rFonts w:ascii="Times New Roman" w:hAnsi="Times New Roman"/>
          <w:sz w:val="24"/>
          <w:szCs w:val="27"/>
        </w:rPr>
        <w:t xml:space="preserve"> </w:t>
      </w:r>
      <w:r>
        <w:rPr>
          <w:rFonts w:ascii="Times New Roman" w:hAnsi="Times New Roman"/>
          <w:sz w:val="24"/>
          <w:szCs w:val="27"/>
        </w:rPr>
        <w:t xml:space="preserve">контрол</w:t>
      </w:r>
      <w:r>
        <w:rPr>
          <w:rFonts w:ascii="Times New Roman" w:hAnsi="Times New Roman"/>
          <w:sz w:val="24"/>
          <w:szCs w:val="27"/>
        </w:rPr>
        <w:t xml:space="preserve">я</w:t>
      </w:r>
      <w:r>
        <w:rPr>
          <w:rFonts w:ascii="Times New Roman" w:hAnsi="Times New Roman"/>
          <w:sz w:val="24"/>
          <w:szCs w:val="27"/>
        </w:rPr>
        <w:t xml:space="preserve"> за</w:t>
      </w:r>
      <w:r>
        <w:rPr>
          <w:rFonts w:ascii="Times New Roman" w:hAnsi="Times New Roman"/>
          <w:sz w:val="24"/>
          <w:szCs w:val="27"/>
        </w:rPr>
        <w:t xml:space="preserve"> мероприятиями по сохранности автомобильных дорог местного значения в границах Новооскольского городского округа</w:t>
      </w:r>
      <w:r>
        <w:rPr>
          <w:rFonts w:ascii="Times New Roman" w:hAnsi="Times New Roman"/>
          <w:sz w:val="24"/>
          <w:szCs w:val="27"/>
        </w:rPr>
        <w:t xml:space="preserve"> </w:t>
      </w:r>
      <w:r>
        <w:rPr>
          <w:rFonts w:ascii="Times New Roman" w:hAnsi="Times New Roman"/>
          <w:sz w:val="24"/>
          <w:szCs w:val="27"/>
        </w:rPr>
        <w:t xml:space="preserve">и контрол</w:t>
      </w:r>
      <w:r>
        <w:rPr>
          <w:rFonts w:ascii="Times New Roman" w:hAnsi="Times New Roman"/>
          <w:sz w:val="24"/>
          <w:szCs w:val="27"/>
        </w:rPr>
        <w:t xml:space="preserve">я </w:t>
      </w:r>
      <w:r>
        <w:rPr>
          <w:rFonts w:ascii="Times New Roman" w:hAnsi="Times New Roman"/>
          <w:sz w:val="24"/>
          <w:szCs w:val="27"/>
        </w:rPr>
        <w:t xml:space="preserve">в сфере благоустройства на территории Новооскольского городского округа;</w:t>
      </w:r>
      <w:r/>
    </w:p>
    <w:p>
      <w:pPr>
        <w:pStyle w:val="893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7"/>
        </w:rPr>
        <w:t xml:space="preserve">    - </w:t>
      </w:r>
      <w:r>
        <w:rPr>
          <w:rFonts w:ascii="Times New Roman" w:hAnsi="Times New Roman"/>
          <w:sz w:val="24"/>
          <w:szCs w:val="27"/>
        </w:rPr>
        <w:t xml:space="preserve">подготовка</w:t>
      </w:r>
      <w:r>
        <w:rPr>
          <w:rFonts w:ascii="Times New Roman" w:hAnsi="Times New Roman"/>
          <w:sz w:val="24"/>
          <w:szCs w:val="27"/>
        </w:rPr>
        <w:t xml:space="preserve"> аналитическ</w:t>
      </w:r>
      <w:r>
        <w:rPr>
          <w:rFonts w:ascii="Times New Roman" w:hAnsi="Times New Roman"/>
          <w:sz w:val="24"/>
          <w:szCs w:val="27"/>
        </w:rPr>
        <w:t xml:space="preserve">ой</w:t>
      </w:r>
      <w:r>
        <w:rPr>
          <w:rFonts w:ascii="Times New Roman" w:hAnsi="Times New Roman"/>
          <w:sz w:val="24"/>
          <w:szCs w:val="27"/>
        </w:rPr>
        <w:t xml:space="preserve"> информаци</w:t>
      </w:r>
      <w:r>
        <w:rPr>
          <w:rFonts w:ascii="Times New Roman" w:hAnsi="Times New Roman"/>
          <w:sz w:val="24"/>
          <w:szCs w:val="27"/>
        </w:rPr>
        <w:t xml:space="preserve">и</w:t>
      </w:r>
      <w:r>
        <w:rPr>
          <w:rFonts w:ascii="Times New Roman" w:hAnsi="Times New Roman"/>
          <w:sz w:val="24"/>
          <w:szCs w:val="27"/>
        </w:rPr>
        <w:t xml:space="preserve"> по вопросам муниципального жилищного контроля</w:t>
      </w:r>
      <w:r>
        <w:rPr>
          <w:rFonts w:ascii="Times New Roman" w:hAnsi="Times New Roman"/>
          <w:sz w:val="24"/>
          <w:szCs w:val="27"/>
        </w:rPr>
        <w:t xml:space="preserve">,</w:t>
      </w:r>
      <w:r>
        <w:rPr>
          <w:rFonts w:ascii="Times New Roman" w:hAnsi="Times New Roman"/>
          <w:sz w:val="24"/>
          <w:szCs w:val="27"/>
        </w:rPr>
        <w:t xml:space="preserve"> </w:t>
      </w:r>
      <w:r>
        <w:rPr>
          <w:rFonts w:ascii="Times New Roman" w:hAnsi="Times New Roman"/>
          <w:sz w:val="24"/>
          <w:szCs w:val="27"/>
        </w:rPr>
        <w:t xml:space="preserve">контрол</w:t>
      </w:r>
      <w:r>
        <w:rPr>
          <w:rFonts w:ascii="Times New Roman" w:hAnsi="Times New Roman"/>
          <w:sz w:val="24"/>
          <w:szCs w:val="27"/>
        </w:rPr>
        <w:t xml:space="preserve">я</w:t>
      </w:r>
      <w:r>
        <w:rPr>
          <w:rFonts w:ascii="Times New Roman" w:hAnsi="Times New Roman"/>
          <w:sz w:val="24"/>
          <w:szCs w:val="27"/>
        </w:rPr>
        <w:t xml:space="preserve"> за</w:t>
      </w:r>
      <w:r>
        <w:rPr>
          <w:rFonts w:ascii="Times New Roman" w:hAnsi="Times New Roman"/>
          <w:sz w:val="24"/>
          <w:szCs w:val="27"/>
        </w:rPr>
        <w:t xml:space="preserve"> мероприятиями по сохранности автомобильных дорог местного значения в границах Новооскольского городского округа</w:t>
      </w:r>
      <w:r>
        <w:rPr>
          <w:rFonts w:ascii="Times New Roman" w:hAnsi="Times New Roman"/>
          <w:sz w:val="24"/>
          <w:szCs w:val="27"/>
        </w:rPr>
        <w:t xml:space="preserve"> </w:t>
      </w:r>
      <w:r>
        <w:rPr>
          <w:rFonts w:ascii="Times New Roman" w:hAnsi="Times New Roman"/>
          <w:sz w:val="24"/>
          <w:szCs w:val="27"/>
        </w:rPr>
        <w:t xml:space="preserve">и контрол</w:t>
      </w:r>
      <w:r>
        <w:rPr>
          <w:rFonts w:ascii="Times New Roman" w:hAnsi="Times New Roman"/>
          <w:sz w:val="24"/>
          <w:szCs w:val="27"/>
        </w:rPr>
        <w:t xml:space="preserve">я </w:t>
      </w:r>
      <w:r>
        <w:rPr>
          <w:rFonts w:ascii="Times New Roman" w:hAnsi="Times New Roman"/>
          <w:sz w:val="24"/>
          <w:szCs w:val="27"/>
        </w:rPr>
        <w:t xml:space="preserve">в сфере благоустройства на территории Новооскольского городского округа</w:t>
      </w:r>
      <w:r>
        <w:rPr>
          <w:rFonts w:ascii="Times New Roman" w:hAnsi="Times New Roman"/>
          <w:sz w:val="24"/>
          <w:szCs w:val="27"/>
        </w:rPr>
        <w:t xml:space="preserve">;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3"/>
        <w:ind w:firstLine="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7"/>
        </w:rPr>
        <w:t xml:space="preserve">               - у</w:t>
      </w:r>
      <w:r>
        <w:rPr>
          <w:rFonts w:ascii="Times New Roman" w:hAnsi="Times New Roman"/>
          <w:sz w:val="24"/>
          <w:szCs w:val="27"/>
        </w:rPr>
        <w:t xml:space="preserve">частие в реализации программы капитального ремонта общего имущества многоквартирных домов</w:t>
      </w:r>
      <w:r>
        <w:rPr>
          <w:rFonts w:ascii="Times New Roman" w:hAnsi="Times New Roman"/>
          <w:sz w:val="24"/>
          <w:szCs w:val="27"/>
        </w:rPr>
        <w:t xml:space="preserve">;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3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7"/>
        </w:rPr>
        <w:t xml:space="preserve">   </w:t>
      </w:r>
      <w:r>
        <w:rPr>
          <w:rFonts w:ascii="Times New Roman" w:hAnsi="Times New Roman"/>
          <w:sz w:val="24"/>
          <w:szCs w:val="27"/>
        </w:rPr>
        <w:t xml:space="preserve">-</w:t>
      </w:r>
      <w:r>
        <w:rPr>
          <w:rFonts w:ascii="Times New Roman" w:hAnsi="Times New Roman"/>
          <w:sz w:val="24"/>
          <w:szCs w:val="27"/>
        </w:rPr>
        <w:t xml:space="preserve"> </w:t>
      </w:r>
      <w:r>
        <w:rPr>
          <w:rFonts w:ascii="Times New Roman" w:hAnsi="Times New Roman"/>
          <w:sz w:val="24"/>
          <w:szCs w:val="27"/>
        </w:rPr>
        <w:t xml:space="preserve">у</w:t>
      </w:r>
      <w:r>
        <w:rPr>
          <w:rFonts w:ascii="Times New Roman" w:hAnsi="Times New Roman"/>
          <w:sz w:val="24"/>
          <w:szCs w:val="27"/>
        </w:rPr>
        <w:t xml:space="preserve">част</w:t>
      </w:r>
      <w:r>
        <w:rPr>
          <w:rFonts w:ascii="Times New Roman" w:hAnsi="Times New Roman"/>
          <w:sz w:val="24"/>
          <w:szCs w:val="27"/>
        </w:rPr>
        <w:t xml:space="preserve">ие</w:t>
      </w:r>
      <w:r>
        <w:rPr>
          <w:rFonts w:ascii="Times New Roman" w:hAnsi="Times New Roman"/>
          <w:sz w:val="24"/>
          <w:szCs w:val="27"/>
        </w:rPr>
        <w:t xml:space="preserve"> в подготовке проектов нормативно-правовых документов, относящихся к компетенции отдела муниципального контроля;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3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7"/>
        </w:rPr>
        <w:t xml:space="preserve">   </w:t>
      </w:r>
      <w:r>
        <w:rPr>
          <w:rFonts w:ascii="Times New Roman" w:hAnsi="Times New Roman"/>
          <w:sz w:val="24"/>
          <w:szCs w:val="27"/>
        </w:rPr>
        <w:t xml:space="preserve">- </w:t>
      </w:r>
      <w:r>
        <w:rPr>
          <w:rFonts w:ascii="Times New Roman" w:hAnsi="Times New Roman"/>
          <w:sz w:val="24"/>
          <w:szCs w:val="27"/>
        </w:rPr>
        <w:t xml:space="preserve">к</w:t>
      </w:r>
      <w:r>
        <w:rPr>
          <w:rFonts w:ascii="Times New Roman" w:hAnsi="Times New Roman"/>
          <w:sz w:val="24"/>
          <w:szCs w:val="27"/>
        </w:rPr>
        <w:t xml:space="preserve">онтрол</w:t>
      </w:r>
      <w:r>
        <w:rPr>
          <w:rFonts w:ascii="Times New Roman" w:hAnsi="Times New Roman"/>
          <w:sz w:val="24"/>
          <w:szCs w:val="27"/>
        </w:rPr>
        <w:t xml:space="preserve">ь</w:t>
      </w:r>
      <w:r>
        <w:rPr>
          <w:rFonts w:ascii="Times New Roman" w:hAnsi="Times New Roman"/>
          <w:sz w:val="24"/>
          <w:szCs w:val="27"/>
        </w:rPr>
        <w:t xml:space="preserve"> ход</w:t>
      </w:r>
      <w:r>
        <w:rPr>
          <w:rFonts w:ascii="Times New Roman" w:hAnsi="Times New Roman"/>
          <w:sz w:val="24"/>
          <w:szCs w:val="27"/>
        </w:rPr>
        <w:t xml:space="preserve">а</w:t>
      </w:r>
      <w:r>
        <w:rPr>
          <w:rFonts w:ascii="Times New Roman" w:hAnsi="Times New Roman"/>
          <w:sz w:val="24"/>
          <w:szCs w:val="27"/>
        </w:rPr>
        <w:t xml:space="preserve"> выполнения приказов, указаний и поручений начальника управления,  относящихся к компетенции отдела муниципального контроля;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3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7"/>
        </w:rPr>
        <w:t xml:space="preserve">    -</w:t>
      </w:r>
      <w:r>
        <w:rPr>
          <w:rFonts w:ascii="Times New Roman" w:hAnsi="Times New Roman"/>
          <w:sz w:val="24"/>
          <w:szCs w:val="27"/>
        </w:rPr>
        <w:t xml:space="preserve"> </w:t>
      </w:r>
      <w:r>
        <w:rPr>
          <w:rFonts w:ascii="Times New Roman" w:hAnsi="Times New Roman"/>
          <w:sz w:val="24"/>
          <w:szCs w:val="27"/>
        </w:rPr>
        <w:t xml:space="preserve">у</w:t>
      </w:r>
      <w:r>
        <w:rPr>
          <w:rFonts w:ascii="Times New Roman" w:hAnsi="Times New Roman"/>
          <w:sz w:val="24"/>
          <w:szCs w:val="27"/>
        </w:rPr>
        <w:t xml:space="preserve">част</w:t>
      </w:r>
      <w:r>
        <w:rPr>
          <w:rFonts w:ascii="Times New Roman" w:hAnsi="Times New Roman"/>
          <w:sz w:val="24"/>
          <w:szCs w:val="27"/>
        </w:rPr>
        <w:t xml:space="preserve">ие</w:t>
      </w:r>
      <w:r>
        <w:rPr>
          <w:rFonts w:ascii="Times New Roman" w:hAnsi="Times New Roman"/>
          <w:sz w:val="24"/>
          <w:szCs w:val="27"/>
        </w:rPr>
        <w:t xml:space="preserve"> в проектном управлении;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3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7"/>
        </w:rPr>
        <w:t xml:space="preserve">   </w:t>
      </w:r>
      <w:r>
        <w:rPr>
          <w:rFonts w:ascii="Times New Roman" w:hAnsi="Times New Roman"/>
          <w:sz w:val="24"/>
          <w:szCs w:val="27"/>
        </w:rPr>
        <w:t xml:space="preserve"> </w:t>
      </w:r>
      <w:r>
        <w:rPr>
          <w:rFonts w:ascii="Times New Roman" w:hAnsi="Times New Roman"/>
          <w:sz w:val="24"/>
          <w:szCs w:val="27"/>
        </w:rPr>
        <w:t xml:space="preserve">- </w:t>
      </w:r>
      <w:r>
        <w:rPr>
          <w:rFonts w:ascii="Times New Roman" w:hAnsi="Times New Roman"/>
          <w:sz w:val="24"/>
          <w:szCs w:val="27"/>
        </w:rPr>
        <w:t xml:space="preserve">в</w:t>
      </w:r>
      <w:r>
        <w:rPr>
          <w:rFonts w:ascii="Times New Roman" w:hAnsi="Times New Roman"/>
          <w:sz w:val="24"/>
          <w:szCs w:val="27"/>
        </w:rPr>
        <w:t xml:space="preserve">заимодейств</w:t>
      </w:r>
      <w:r>
        <w:rPr>
          <w:rFonts w:ascii="Times New Roman" w:hAnsi="Times New Roman"/>
          <w:sz w:val="24"/>
          <w:szCs w:val="27"/>
        </w:rPr>
        <w:t xml:space="preserve">ие</w:t>
      </w:r>
      <w:r>
        <w:rPr>
          <w:rFonts w:ascii="Times New Roman" w:hAnsi="Times New Roman"/>
          <w:sz w:val="24"/>
          <w:szCs w:val="27"/>
        </w:rPr>
        <w:t xml:space="preserve"> с управлением государственного жилищного надзора по Белгородской области по вопросам входящим в компетенцию отдела;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3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7"/>
        </w:rPr>
        <w:t xml:space="preserve">   </w:t>
      </w:r>
      <w:r>
        <w:rPr>
          <w:rFonts w:ascii="Times New Roman" w:hAnsi="Times New Roman"/>
          <w:sz w:val="24"/>
          <w:szCs w:val="27"/>
        </w:rPr>
        <w:t xml:space="preserve"> </w:t>
      </w:r>
      <w:r>
        <w:rPr>
          <w:rFonts w:ascii="Times New Roman" w:hAnsi="Times New Roman"/>
          <w:sz w:val="24"/>
          <w:szCs w:val="27"/>
        </w:rPr>
        <w:t xml:space="preserve">- </w:t>
      </w:r>
      <w:r>
        <w:rPr>
          <w:rFonts w:ascii="Times New Roman" w:hAnsi="Times New Roman"/>
          <w:sz w:val="24"/>
          <w:szCs w:val="27"/>
        </w:rPr>
        <w:t xml:space="preserve">у</w:t>
      </w:r>
      <w:r>
        <w:rPr>
          <w:rFonts w:ascii="Times New Roman" w:hAnsi="Times New Roman"/>
          <w:sz w:val="24"/>
          <w:szCs w:val="27"/>
        </w:rPr>
        <w:t xml:space="preserve">част</w:t>
      </w:r>
      <w:r>
        <w:rPr>
          <w:rFonts w:ascii="Times New Roman" w:hAnsi="Times New Roman"/>
          <w:sz w:val="24"/>
          <w:szCs w:val="27"/>
        </w:rPr>
        <w:t xml:space="preserve">ие</w:t>
      </w:r>
      <w:r>
        <w:rPr>
          <w:rFonts w:ascii="Times New Roman" w:hAnsi="Times New Roman"/>
          <w:sz w:val="24"/>
          <w:szCs w:val="27"/>
        </w:rPr>
        <w:t xml:space="preserve"> в подготовке ежегодного доклада о достигнутых значениях показателей для оценки эффективности </w:t>
      </w:r>
      <w:r>
        <w:rPr>
          <w:rFonts w:ascii="Times New Roman" w:hAnsi="Times New Roman"/>
          <w:sz w:val="24"/>
          <w:szCs w:val="27"/>
        </w:rPr>
        <w:t xml:space="preserve">муниципальн</w:t>
      </w:r>
      <w:r>
        <w:rPr>
          <w:rFonts w:ascii="Times New Roman" w:hAnsi="Times New Roman"/>
          <w:sz w:val="24"/>
          <w:szCs w:val="27"/>
        </w:rPr>
        <w:t xml:space="preserve">ого</w:t>
      </w:r>
      <w:r>
        <w:rPr>
          <w:rFonts w:ascii="Times New Roman" w:hAnsi="Times New Roman"/>
          <w:sz w:val="24"/>
          <w:szCs w:val="27"/>
        </w:rPr>
        <w:t xml:space="preserve"> жилищн</w:t>
      </w:r>
      <w:r>
        <w:rPr>
          <w:rFonts w:ascii="Times New Roman" w:hAnsi="Times New Roman"/>
          <w:sz w:val="24"/>
          <w:szCs w:val="27"/>
        </w:rPr>
        <w:t xml:space="preserve">ого</w:t>
      </w:r>
      <w:r>
        <w:rPr>
          <w:rFonts w:ascii="Times New Roman" w:hAnsi="Times New Roman"/>
          <w:sz w:val="24"/>
          <w:szCs w:val="27"/>
        </w:rPr>
        <w:t xml:space="preserve"> контрол</w:t>
      </w:r>
      <w:r>
        <w:rPr>
          <w:rFonts w:ascii="Times New Roman" w:hAnsi="Times New Roman"/>
          <w:sz w:val="24"/>
          <w:szCs w:val="27"/>
        </w:rPr>
        <w:t xml:space="preserve">я,</w:t>
      </w:r>
      <w:r>
        <w:rPr>
          <w:rFonts w:ascii="Times New Roman" w:hAnsi="Times New Roman"/>
          <w:sz w:val="24"/>
          <w:szCs w:val="27"/>
        </w:rPr>
        <w:t xml:space="preserve"> </w:t>
      </w:r>
      <w:r>
        <w:rPr>
          <w:rFonts w:ascii="Times New Roman" w:hAnsi="Times New Roman"/>
          <w:sz w:val="24"/>
          <w:szCs w:val="27"/>
        </w:rPr>
        <w:t xml:space="preserve">контрол</w:t>
      </w:r>
      <w:r>
        <w:rPr>
          <w:rFonts w:ascii="Times New Roman" w:hAnsi="Times New Roman"/>
          <w:sz w:val="24"/>
          <w:szCs w:val="27"/>
        </w:rPr>
        <w:t xml:space="preserve">я</w:t>
      </w:r>
      <w:r>
        <w:rPr>
          <w:rFonts w:ascii="Times New Roman" w:hAnsi="Times New Roman"/>
          <w:sz w:val="24"/>
          <w:szCs w:val="27"/>
        </w:rPr>
        <w:t xml:space="preserve"> за</w:t>
      </w:r>
      <w:r>
        <w:rPr>
          <w:rFonts w:ascii="Times New Roman" w:hAnsi="Times New Roman"/>
          <w:sz w:val="24"/>
          <w:szCs w:val="27"/>
        </w:rPr>
        <w:t xml:space="preserve"> мероприятиями по сохранности автомобильных дорог местного значения в границах Новооскольского городского округа</w:t>
      </w:r>
      <w:r>
        <w:rPr>
          <w:rFonts w:ascii="Times New Roman" w:hAnsi="Times New Roman"/>
          <w:sz w:val="24"/>
          <w:szCs w:val="27"/>
        </w:rPr>
        <w:t xml:space="preserve"> </w:t>
      </w:r>
      <w:r>
        <w:rPr>
          <w:rFonts w:ascii="Times New Roman" w:hAnsi="Times New Roman"/>
          <w:sz w:val="24"/>
          <w:szCs w:val="27"/>
        </w:rPr>
        <w:t xml:space="preserve">и контрол</w:t>
      </w:r>
      <w:r>
        <w:rPr>
          <w:rFonts w:ascii="Times New Roman" w:hAnsi="Times New Roman"/>
          <w:sz w:val="24"/>
          <w:szCs w:val="27"/>
        </w:rPr>
        <w:t xml:space="preserve">я </w:t>
      </w:r>
      <w:r>
        <w:rPr>
          <w:rFonts w:ascii="Times New Roman" w:hAnsi="Times New Roman"/>
          <w:sz w:val="24"/>
          <w:szCs w:val="27"/>
        </w:rPr>
        <w:t xml:space="preserve">в сфере благоустройства на территории Новооскольского городского округа</w:t>
      </w:r>
      <w:r>
        <w:rPr>
          <w:rFonts w:ascii="Times New Roman" w:hAnsi="Times New Roman"/>
          <w:sz w:val="24"/>
          <w:szCs w:val="27"/>
        </w:rPr>
        <w:t xml:space="preserve">;</w:t>
      </w:r>
      <w:bookmarkStart w:id="0" w:name="_GoBack"/>
      <w:r>
        <w:rPr>
          <w:rFonts w:ascii="Times New Roman" w:hAnsi="Times New Roman"/>
          <w:sz w:val="24"/>
        </w:rPr>
      </w:r>
      <w:bookmarkEnd w:id="0"/>
      <w:r>
        <w:rPr>
          <w:rFonts w:ascii="Times New Roman" w:hAnsi="Times New Roman"/>
          <w:sz w:val="24"/>
          <w:szCs w:val="24"/>
        </w:rPr>
      </w:r>
      <w:r/>
    </w:p>
    <w:p>
      <w:pPr>
        <w:pStyle w:val="893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7"/>
        </w:rPr>
        <w:t xml:space="preserve">  </w:t>
      </w:r>
      <w:r>
        <w:rPr>
          <w:rFonts w:ascii="Times New Roman" w:hAnsi="Times New Roman"/>
          <w:sz w:val="24"/>
          <w:szCs w:val="27"/>
        </w:rPr>
        <w:t xml:space="preserve"> </w:t>
      </w:r>
      <w:r>
        <w:rPr>
          <w:rFonts w:ascii="Times New Roman" w:hAnsi="Times New Roman"/>
          <w:sz w:val="24"/>
          <w:szCs w:val="27"/>
        </w:rPr>
        <w:t xml:space="preserve"> - </w:t>
      </w:r>
      <w:r>
        <w:rPr>
          <w:rFonts w:ascii="Times New Roman" w:hAnsi="Times New Roman"/>
          <w:sz w:val="24"/>
          <w:szCs w:val="27"/>
        </w:rPr>
        <w:t xml:space="preserve">р</w:t>
      </w:r>
      <w:r>
        <w:rPr>
          <w:rFonts w:ascii="Times New Roman" w:hAnsi="Times New Roman"/>
          <w:sz w:val="24"/>
          <w:szCs w:val="27"/>
        </w:rPr>
        <w:t xml:space="preserve">ассмотр</w:t>
      </w:r>
      <w:r>
        <w:rPr>
          <w:rFonts w:ascii="Times New Roman" w:hAnsi="Times New Roman"/>
          <w:sz w:val="24"/>
          <w:szCs w:val="27"/>
        </w:rPr>
        <w:t xml:space="preserve">ение </w:t>
      </w:r>
      <w:r>
        <w:rPr>
          <w:rFonts w:ascii="Times New Roman" w:hAnsi="Times New Roman"/>
          <w:sz w:val="24"/>
          <w:szCs w:val="27"/>
        </w:rPr>
        <w:t xml:space="preserve">заявлени</w:t>
      </w:r>
      <w:r>
        <w:rPr>
          <w:rFonts w:ascii="Times New Roman" w:hAnsi="Times New Roman"/>
          <w:sz w:val="24"/>
          <w:szCs w:val="27"/>
        </w:rPr>
        <w:t xml:space="preserve">й</w:t>
      </w:r>
      <w:r>
        <w:rPr>
          <w:rFonts w:ascii="Times New Roman" w:hAnsi="Times New Roman"/>
          <w:sz w:val="24"/>
          <w:szCs w:val="27"/>
        </w:rPr>
        <w:t xml:space="preserve">, обращени</w:t>
      </w:r>
      <w:r>
        <w:rPr>
          <w:rFonts w:ascii="Times New Roman" w:hAnsi="Times New Roman"/>
          <w:sz w:val="24"/>
          <w:szCs w:val="27"/>
        </w:rPr>
        <w:t xml:space="preserve">й граждан и принятие</w:t>
      </w:r>
      <w:r>
        <w:rPr>
          <w:rFonts w:ascii="Times New Roman" w:hAnsi="Times New Roman"/>
          <w:sz w:val="24"/>
          <w:szCs w:val="27"/>
        </w:rPr>
        <w:t xml:space="preserve"> по ним соответствующи</w:t>
      </w:r>
      <w:r>
        <w:rPr>
          <w:rFonts w:ascii="Times New Roman" w:hAnsi="Times New Roman"/>
          <w:sz w:val="24"/>
          <w:szCs w:val="27"/>
        </w:rPr>
        <w:t xml:space="preserve">х</w:t>
      </w:r>
      <w:r>
        <w:rPr>
          <w:rFonts w:ascii="Times New Roman" w:hAnsi="Times New Roman"/>
          <w:sz w:val="24"/>
          <w:szCs w:val="27"/>
        </w:rPr>
        <w:t xml:space="preserve"> решени</w:t>
      </w:r>
      <w:r>
        <w:rPr>
          <w:rFonts w:ascii="Times New Roman" w:hAnsi="Times New Roman"/>
          <w:sz w:val="24"/>
          <w:szCs w:val="27"/>
        </w:rPr>
        <w:t xml:space="preserve">й</w:t>
      </w:r>
      <w:r>
        <w:rPr>
          <w:rFonts w:ascii="Times New Roman" w:hAnsi="Times New Roman"/>
          <w:sz w:val="24"/>
          <w:szCs w:val="27"/>
        </w:rPr>
        <w:t xml:space="preserve"> и мер;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3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7"/>
        </w:rPr>
        <w:t xml:space="preserve">    -  </w:t>
      </w:r>
      <w:r>
        <w:rPr>
          <w:rFonts w:ascii="Times New Roman" w:hAnsi="Times New Roman"/>
          <w:sz w:val="24"/>
          <w:szCs w:val="27"/>
        </w:rPr>
        <w:t xml:space="preserve">внесение</w:t>
      </w:r>
      <w:r>
        <w:rPr>
          <w:rFonts w:ascii="Times New Roman" w:hAnsi="Times New Roman"/>
          <w:sz w:val="24"/>
          <w:szCs w:val="27"/>
        </w:rPr>
        <w:t xml:space="preserve"> предложени</w:t>
      </w:r>
      <w:r>
        <w:rPr>
          <w:rFonts w:ascii="Times New Roman" w:hAnsi="Times New Roman"/>
          <w:sz w:val="24"/>
          <w:szCs w:val="27"/>
        </w:rPr>
        <w:t xml:space="preserve">й</w:t>
      </w:r>
      <w:r>
        <w:rPr>
          <w:rFonts w:ascii="Times New Roman" w:hAnsi="Times New Roman"/>
          <w:sz w:val="24"/>
          <w:szCs w:val="27"/>
        </w:rPr>
        <w:t xml:space="preserve"> для формирования планов закупок товаров, работ (услуг) в пределах компетенции отдела.</w:t>
      </w:r>
      <w:r>
        <w:rPr>
          <w:rFonts w:ascii="Times New Roman" w:hAnsi="Times New Roman"/>
          <w:sz w:val="24"/>
          <w:szCs w:val="27"/>
        </w:rPr>
        <w:t xml:space="preserve"> </w:t>
      </w:r>
      <w:r/>
    </w:p>
    <w:p>
      <w:pPr>
        <w:pStyle w:val="893"/>
        <w:ind w:firstLine="720"/>
        <w:jc w:val="both"/>
        <w:rPr>
          <w:rFonts w:ascii="Times New Roman" w:hAnsi="Times New Roman" w:cs="Times New Roman"/>
        </w:rPr>
      </w:pPr>
      <w:r>
        <w:rPr>
          <w:rFonts w:ascii="Times New Roman" w:hAnsi="Times New Roman"/>
          <w:sz w:val="24"/>
          <w:szCs w:val="27"/>
        </w:rPr>
      </w:r>
      <w:r>
        <w:rPr>
          <w:rFonts w:ascii="Times New Roman" w:hAnsi="Times New Roman"/>
          <w:sz w:val="24"/>
          <w:szCs w:val="27"/>
        </w:rPr>
        <w:t xml:space="preserve">- </w:t>
      </w:r>
      <w:r>
        <w:rPr>
          <w:rFonts w:ascii="Times New Roman" w:hAnsi="Times New Roman"/>
          <w:sz w:val="24"/>
          <w:szCs w:val="27"/>
        </w:rPr>
        <w:t xml:space="preserve">в</w:t>
      </w:r>
      <w:r>
        <w:rPr>
          <w:rFonts w:ascii="Times New Roman" w:hAnsi="Times New Roman"/>
          <w:sz w:val="24"/>
          <w:szCs w:val="27"/>
        </w:rPr>
        <w:t xml:space="preserve">заимодейств</w:t>
      </w:r>
      <w:r>
        <w:rPr>
          <w:rFonts w:ascii="Times New Roman" w:hAnsi="Times New Roman"/>
          <w:sz w:val="24"/>
          <w:szCs w:val="27"/>
        </w:rPr>
        <w:t xml:space="preserve">ие</w:t>
      </w:r>
      <w:r>
        <w:rPr>
          <w:rFonts w:ascii="Times New Roman" w:hAnsi="Times New Roman"/>
          <w:sz w:val="24"/>
          <w:szCs w:val="27"/>
        </w:rPr>
        <w:t xml:space="preserve"> с территориальными органами федеральных органов исполнительной власти, исполнительными органами власти Белгородской области, правоо</w:t>
      </w:r>
      <w:r>
        <w:rPr>
          <w:rFonts w:ascii="Times New Roman" w:hAnsi="Times New Roman"/>
          <w:sz w:val="24"/>
          <w:szCs w:val="27"/>
        </w:rPr>
        <w:t xml:space="preserve">хранительными органами, органами государственного контроля (надзора), организациями любых форм собственности, физическими лицами, со структурными подразделениями администрации Новооскольского городского округа по вопросам, относящимся к компетенции отдела.</w:t>
      </w:r>
      <w:r>
        <w:rPr>
          <w:sz w:val="24"/>
          <w:szCs w:val="24"/>
        </w:rPr>
      </w:r>
      <w:r/>
    </w:p>
    <w:p>
      <w:pPr>
        <w:pStyle w:val="89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Права  </w:t>
      </w:r>
      <w:r>
        <w:rPr>
          <w:rFonts w:ascii="Times New Roman" w:hAnsi="Times New Roman"/>
          <w:sz w:val="24"/>
          <w:szCs w:val="24"/>
        </w:rPr>
        <w:t xml:space="preserve">муниципального </w:t>
      </w:r>
      <w:r>
        <w:rPr>
          <w:rFonts w:ascii="Times New Roman" w:hAnsi="Times New Roman"/>
          <w:sz w:val="24"/>
          <w:szCs w:val="24"/>
        </w:rPr>
        <w:t xml:space="preserve">  служащего  и  ответственность за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неисполнение (ненадлежащее) исполнение должностных обязанностей установлены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Федеральным 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"consultantplus://offline/ref=CCF5CBA3A95139190F99B62D928F5EE10D4D4ABDC27C84CF9A85E80E016B911B40745AD23DE33B0467BDAEA55BY3f5K"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законом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 от 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«О муниципальной службе в Российской Федерации».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Эффективность  профессиональной  служебной  деятельности  по  вакантной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должности оценивается по следующим показателям:</w:t>
      </w:r>
      <w:r/>
    </w:p>
    <w:p>
      <w:pPr>
        <w:pStyle w:val="88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>
        <w:rPr>
          <w:sz w:val="24"/>
          <w:szCs w:val="24"/>
        </w:rPr>
        <w:t xml:space="preserve">Результативность профессиональной служебн</w:t>
      </w:r>
      <w:r>
        <w:rPr>
          <w:sz w:val="24"/>
          <w:szCs w:val="24"/>
        </w:rPr>
        <w:t xml:space="preserve">ой деятельности муниципального служащего определяется по результатам его профессиональной служебной деятельности и деятельности подчиненных ему муниципальных служащих в порядке, установленном нормативными правовыми актами Новооскольского городского округа.</w:t>
      </w:r>
      <w:r/>
    </w:p>
    <w:p>
      <w:pPr>
        <w:pStyle w:val="88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Объем выполненных работ (в том числе в рамках проектной деятельности).</w:t>
      </w:r>
      <w:r/>
    </w:p>
    <w:p>
      <w:pPr>
        <w:pStyle w:val="88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Качество выполненных работ.</w:t>
      </w:r>
      <w:r/>
    </w:p>
    <w:p>
      <w:pPr>
        <w:pStyle w:val="88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 Своевременность выполнения работ (в том числе в рамках проектной деятельности).</w:t>
      </w:r>
      <w:r/>
    </w:p>
    <w:p>
      <w:pPr>
        <w:pStyle w:val="88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 Количество нарушений  административного или должностного регламентов (в том числе нарушений трудовой дисциплины).</w:t>
      </w:r>
      <w:r/>
    </w:p>
    <w:p>
      <w:pPr>
        <w:pStyle w:val="884"/>
        <w:ind w:firstLine="567"/>
        <w:jc w:val="both"/>
        <w:rPr>
          <w:rStyle w:val="912"/>
          <w:sz w:val="24"/>
          <w:szCs w:val="24"/>
        </w:rPr>
      </w:pPr>
      <w:r>
        <w:rPr>
          <w:sz w:val="24"/>
          <w:szCs w:val="24"/>
        </w:rPr>
        <w:t xml:space="preserve">6. Количеств</w:t>
      </w:r>
      <w:r>
        <w:rPr>
          <w:sz w:val="24"/>
          <w:szCs w:val="24"/>
        </w:rPr>
        <w:t xml:space="preserve">о обоснованных жалоб граждан и организаций, в том числе и на ненадлежащее исполнение стандартов государственных и муниципальных услуг (государственных  и муниципальных функций), а также ненадлежащее рассмотрение инициатив и обращений граждан (организаций).</w:t>
      </w:r>
      <w:r>
        <w:rPr>
          <w:rStyle w:val="912"/>
          <w:sz w:val="24"/>
          <w:szCs w:val="24"/>
        </w:rPr>
      </w:r>
      <w:r/>
    </w:p>
    <w:p>
      <w:pPr>
        <w:pStyle w:val="89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Условия прохождения </w:t>
      </w:r>
      <w:r>
        <w:rPr>
          <w:rFonts w:ascii="Times New Roman" w:hAnsi="Times New Roman"/>
          <w:sz w:val="24"/>
          <w:szCs w:val="24"/>
        </w:rPr>
        <w:t xml:space="preserve">муниципальной</w:t>
      </w:r>
      <w:r>
        <w:rPr>
          <w:rFonts w:ascii="Times New Roman" w:hAnsi="Times New Roman"/>
          <w:sz w:val="24"/>
          <w:szCs w:val="24"/>
        </w:rPr>
        <w:t xml:space="preserve"> службы:</w:t>
      </w:r>
      <w:r/>
    </w:p>
    <w:p>
      <w:pPr>
        <w:pStyle w:val="893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Пятидневная  рабочая  неделя  (выходные  дни  -  суббота и воскресенье,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нерабочие праздничные дни).</w:t>
      </w:r>
      <w:r/>
    </w:p>
    <w:p>
      <w:pPr>
        <w:pStyle w:val="893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Продолжительность  ежегодного  оплачиваемого  отпуска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                                   «О муниципальной службе в Российской Федерации».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3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Оплата  труда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служащего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 «О муниципальной службе в Российской Федерации» 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решением Совета депутатов Новооскольского городского округа от 24 ноября 2020 года № 538 «Об оплате труда муниципальных служащих Новооскольского городского округа».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3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Служебные  командировки  по территории Российской Федерации возможны по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мере необходимости.</w:t>
      </w:r>
      <w:r/>
    </w:p>
    <w:p>
      <w:pPr>
        <w:pStyle w:val="893"/>
        <w:ind w:firstLine="72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sz w:val="24"/>
          <w:szCs w:val="24"/>
        </w:rPr>
        <w:t xml:space="preserve">С  положением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об органе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</w:t>
      </w:r>
      <w:r>
        <w:rPr>
          <w:rFonts w:ascii="Times New Roman" w:hAnsi="Times New Roman"/>
          <w:sz w:val="24"/>
          <w:szCs w:val="24"/>
        </w:rPr>
        <w:t xml:space="preserve">ом</w:t>
      </w:r>
      <w:r>
        <w:rPr>
          <w:rFonts w:ascii="Times New Roman" w:hAnsi="Times New Roman"/>
          <w:sz w:val="24"/>
          <w:szCs w:val="24"/>
        </w:rPr>
        <w:t xml:space="preserve"> проводится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конкурс,   и   с   должностн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инструкцией</w:t>
      </w:r>
      <w:r>
        <w:rPr>
          <w:rFonts w:ascii="Times New Roman" w:hAnsi="Times New Roman"/>
          <w:sz w:val="24"/>
          <w:szCs w:val="24"/>
        </w:rPr>
        <w:t xml:space="preserve">  вакантн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должност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 можно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ознакомиться в</w:t>
      </w:r>
      <w:r>
        <w:rPr>
          <w:rFonts w:ascii="Times New Roman" w:hAnsi="Times New Roman"/>
          <w:sz w:val="24"/>
          <w:szCs w:val="24"/>
        </w:rPr>
        <w:t xml:space="preserve"> отделе муниципальной службы и кадров администрации </w:t>
      </w:r>
      <w:r>
        <w:rPr>
          <w:rFonts w:ascii="Times New Roman" w:hAnsi="Times New Roman"/>
          <w:color w:val="000000"/>
          <w:sz w:val="24"/>
          <w:szCs w:val="24"/>
        </w:rPr>
        <w:t xml:space="preserve">Новооскольского городского округа</w:t>
      </w:r>
      <w:r>
        <w:rPr>
          <w:rFonts w:ascii="Times New Roman" w:hAnsi="Times New Roman"/>
          <w:color w:val="000000"/>
          <w:sz w:val="24"/>
          <w:szCs w:val="24"/>
        </w:rPr>
        <w:t xml:space="preserve">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</w:r>
      <w:r/>
    </w:p>
    <w:p>
      <w:pPr>
        <w:pStyle w:val="893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С  положением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об органе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</w:t>
      </w:r>
      <w:r>
        <w:rPr>
          <w:rFonts w:ascii="Times New Roman" w:hAnsi="Times New Roman"/>
          <w:sz w:val="24"/>
          <w:szCs w:val="24"/>
        </w:rPr>
        <w:t xml:space="preserve">ом</w:t>
      </w:r>
      <w:r>
        <w:rPr>
          <w:rFonts w:ascii="Times New Roman" w:hAnsi="Times New Roman"/>
          <w:sz w:val="24"/>
          <w:szCs w:val="24"/>
        </w:rPr>
        <w:t xml:space="preserve"> проводится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конкурс,   и   с   должностн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инструкцией</w:t>
      </w:r>
      <w:r>
        <w:rPr>
          <w:rFonts w:ascii="Times New Roman" w:hAnsi="Times New Roman"/>
          <w:sz w:val="24"/>
          <w:szCs w:val="24"/>
        </w:rPr>
        <w:t xml:space="preserve">  вакантн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должност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 можно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ознакомиться в</w:t>
      </w:r>
      <w:r>
        <w:rPr>
          <w:rFonts w:ascii="Times New Roman" w:hAnsi="Times New Roman"/>
          <w:sz w:val="24"/>
          <w:szCs w:val="24"/>
        </w:rPr>
        <w:t xml:space="preserve"> отделе муниципальной службы и кадров администрации Новооскольского городского округа.</w:t>
      </w:r>
      <w:r>
        <w:rPr>
          <w:rFonts w:ascii="Times New Roman" w:hAnsi="Times New Roman"/>
        </w:rPr>
      </w:r>
      <w:r/>
    </w:p>
    <w:p>
      <w:pPr>
        <w:pStyle w:val="893"/>
        <w:ind w:firstLine="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      </w:t>
      </w:r>
      <w:r/>
      <w:r>
        <w:rPr>
          <w:rFonts w:ascii="Times New Roman" w:hAnsi="Times New Roman"/>
          <w:color w:val="000000"/>
          <w:sz w:val="24"/>
          <w:szCs w:val="24"/>
        </w:rPr>
        <w:t xml:space="preserve">Прием заявлений и прилагаемых документов на  конкурс начинается </w:t>
      </w:r>
      <w:r>
        <w:rPr>
          <w:rFonts w:ascii="Times New Roman" w:hAnsi="Times New Roman"/>
          <w:b w:val="false"/>
          <w:color w:val="000000"/>
          <w:sz w:val="24"/>
          <w:szCs w:val="24"/>
        </w:rPr>
        <w:t xml:space="preserve">с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29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августа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2024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года</w:t>
      </w:r>
      <w:r>
        <w:rPr>
          <w:rFonts w:ascii="Times New Roman" w:hAnsi="Times New Roman"/>
          <w:color w:val="000000"/>
          <w:sz w:val="24"/>
          <w:szCs w:val="24"/>
        </w:rPr>
        <w:t xml:space="preserve"> (со дня размещения объявления на официальном сайте органов местного самоуправления Новооскольского городского округа в сети Интернет по адресу: </w:t>
      </w:r>
      <w:r>
        <w:rPr>
          <w:rFonts w:ascii="Times New Roman" w:hAnsi="Times New Roman"/>
          <w:color w:val="3366FF"/>
          <w:sz w:val="24"/>
          <w:szCs w:val="24"/>
        </w:rPr>
        <w:t xml:space="preserve">https://novyjoskol-r31.gosweb.gosuslugi.ru/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и заканчивается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18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сентября 2024 года</w:t>
      </w:r>
      <w:r>
        <w:rPr>
          <w:rFonts w:ascii="Times New Roman" w:hAnsi="Times New Roman"/>
          <w:color w:val="000000"/>
          <w:sz w:val="24"/>
          <w:szCs w:val="24"/>
        </w:rPr>
        <w:t xml:space="preserve">. </w:t>
      </w:r>
      <w:r/>
      <w:r/>
    </w:p>
    <w:p>
      <w:pPr>
        <w:pStyle w:val="893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Все конкурсные документы доставляются лично в рабочие дни с 8.00 до 17.00  либо почтой (заказным письмом с уведомлением) по адресу: 309640, </w:t>
      </w:r>
      <w:r>
        <w:rPr>
          <w:rFonts w:ascii="Times New Roman" w:hAnsi="Times New Roman"/>
          <w:sz w:val="24"/>
          <w:szCs w:val="24"/>
        </w:rPr>
        <w:t xml:space="preserve">г. Новый Оскол,  ул. 1 Мая, д. 2 в отдел муниципальной службы и кадров администрации Новооскольского городского округа.</w:t>
      </w:r>
      <w:r>
        <w:rPr>
          <w:rFonts w:ascii="Times New Roman" w:hAnsi="Times New Roman"/>
        </w:rPr>
      </w:r>
      <w:r/>
    </w:p>
    <w:p>
      <w:pPr>
        <w:pStyle w:val="884"/>
        <w:ind w:firstLine="720"/>
        <w:jc w:val="both"/>
      </w:pPr>
      <w:r>
        <w:rPr>
          <w:sz w:val="24"/>
          <w:szCs w:val="24"/>
        </w:rPr>
        <w:t xml:space="preserve">При  направлении документов почтой датой их приема будет считаться дата получения  заказного  письма администрации Новооскольского городского округа.</w:t>
      </w:r>
      <w:r/>
      <w:r/>
    </w:p>
    <w:p>
      <w:pPr>
        <w:pStyle w:val="884"/>
        <w:ind w:firstLine="720"/>
        <w:jc w:val="both"/>
        <w:rPr>
          <w:color w:val="000000"/>
        </w:rPr>
      </w:pPr>
      <w:r>
        <w:rPr>
          <w:color w:val="000000"/>
          <w:sz w:val="24"/>
          <w:szCs w:val="24"/>
        </w:rPr>
        <w:t xml:space="preserve">Заседание комиссии по проведению конкурса для определения победителя конкурса состоится </w:t>
      </w:r>
      <w:r>
        <w:rPr>
          <w:b/>
          <w:color w:val="000000"/>
          <w:sz w:val="24"/>
          <w:szCs w:val="24"/>
        </w:rPr>
        <w:t xml:space="preserve">02</w:t>
      </w:r>
      <w:r>
        <w:rPr>
          <w:b/>
          <w:color w:val="000000"/>
          <w:sz w:val="24"/>
          <w:szCs w:val="24"/>
        </w:rPr>
        <w:t xml:space="preserve"> </w:t>
      </w:r>
      <w:r>
        <w:rPr>
          <w:b/>
          <w:color w:val="000000"/>
          <w:sz w:val="24"/>
          <w:szCs w:val="24"/>
        </w:rPr>
        <w:t xml:space="preserve">октября 2024 года в 09.00 часов</w:t>
      </w:r>
      <w:r>
        <w:rPr>
          <w:color w:val="000000"/>
          <w:sz w:val="24"/>
          <w:szCs w:val="24"/>
        </w:rPr>
        <w:t xml:space="preserve">.</w:t>
      </w:r>
      <w:r>
        <w:rPr>
          <w:color w:val="000000"/>
        </w:rPr>
      </w:r>
      <w:r/>
    </w:p>
    <w:p>
      <w:pPr>
        <w:pStyle w:val="89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Расходы, связанные с участием в конкурсе (проезд к месту проведения конкурса и обратно, наем жилого помещения, проживание, пользование услугами средств связи и другие), осуществляются кандидатами за счет собственных средств.</w:t>
      </w:r>
      <w:r>
        <w:rPr>
          <w:rFonts w:ascii="Times New Roman" w:hAnsi="Times New Roman"/>
        </w:rPr>
      </w:r>
      <w:r/>
    </w:p>
    <w:p>
      <w:pPr>
        <w:pStyle w:val="89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Телефон для справок: 4-47-88, 4-83-53</w:t>
      </w:r>
      <w:r>
        <w:rPr>
          <w:rFonts w:ascii="Times New Roman" w:hAnsi="Times New Roman"/>
        </w:rPr>
      </w:r>
      <w:r/>
    </w:p>
    <w:p>
      <w:pPr>
        <w:pStyle w:val="893"/>
        <w:ind w:firstLine="0"/>
        <w:jc w:val="both"/>
        <w:rPr>
          <w:rFonts w:ascii="Times New Roman" w:hAnsi="Times New Roman"/>
          <w:color w:val="000000"/>
        </w:rPr>
      </w:pPr>
      <w:r/>
    </w:p>
    <w:p>
      <w:pPr>
        <w:pStyle w:val="89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3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/>
    </w:p>
    <w:sectPr>
      <w:headerReference w:type="default" r:id="rId9"/>
      <w:headerReference w:type="even" r:id="rId10"/>
      <w:footnotePr/>
      <w:endnotePr/>
      <w:type w:val="continuous"/>
      <w:pgSz w:w="11909" w:h="16834" w:orient="portrait"/>
      <w:pgMar w:top="709" w:right="567" w:bottom="850" w:left="1417" w:header="720" w:footer="720" w:gutter="0"/>
      <w:cols w:num="1" w:sep="0" w:space="6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>
        <w:separator/>
      </w:r>
      <w:r/>
    </w:p>
  </w:endnote>
  <w:endnote w:type="continuationSeparator" w:id="0">
    <w:p>
      <w:pPr>
        <w:spacing w:lineRule="auto" w:line="240" w:after="0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Wingdings">
    <w:panose1 w:val="05010000000000000000"/>
  </w:font>
  <w:font w:name="Calibri">
    <w:panose1 w:val="020F0502020204030204"/>
  </w:font>
  <w:font w:name="Times New Roman">
    <w:panose1 w:val="02020603050405020304"/>
  </w:font>
  <w:font w:name="Courier New">
    <w:panose1 w:val="02070409020205020404"/>
  </w:font>
  <w:font w:name="Tahoma">
    <w:panose1 w:val="020B060403050404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89"/>
      <w:rPr>
        <w:rStyle w:val="890"/>
      </w:rPr>
      <w:framePr w:wrap="around" w:vAnchor="text" w:hAnchor="margin" w:xAlign="center" w:y="1"/>
    </w:pPr>
    <w:r>
      <w:rPr>
        <w:rStyle w:val="890"/>
      </w:rPr>
      <w:fldChar w:fldCharType="begin"/>
    </w:r>
    <w:r>
      <w:rPr>
        <w:rStyle w:val="890"/>
      </w:rPr>
      <w:instrText xml:space="preserve">PAGE  </w:instrText>
    </w:r>
    <w:r>
      <w:rPr>
        <w:rStyle w:val="890"/>
      </w:rPr>
      <w:fldChar w:fldCharType="separate"/>
    </w:r>
    <w:r>
      <w:rPr>
        <w:rStyle w:val="890"/>
      </w:rPr>
      <w:t xml:space="preserve">5</w:t>
    </w:r>
    <w:r>
      <w:rPr>
        <w:rStyle w:val="890"/>
      </w:rPr>
      <w:fldChar w:fldCharType="end"/>
    </w:r>
    <w:r>
      <w:rPr>
        <w:rStyle w:val="890"/>
      </w:rPr>
    </w:r>
    <w:r/>
  </w:p>
  <w:p>
    <w:pPr>
      <w:pStyle w:val="889"/>
      <w:ind w:right="360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89"/>
      <w:rPr>
        <w:rStyle w:val="890"/>
      </w:rPr>
      <w:framePr w:wrap="around" w:vAnchor="text" w:hAnchor="margin" w:xAlign="center" w:y="1"/>
    </w:pPr>
    <w:r>
      <w:rPr>
        <w:rStyle w:val="890"/>
      </w:rPr>
      <w:fldChar w:fldCharType="begin"/>
    </w:r>
    <w:r>
      <w:rPr>
        <w:rStyle w:val="890"/>
      </w:rPr>
      <w:instrText xml:space="preserve">PAGE  </w:instrText>
    </w:r>
    <w:r>
      <w:rPr>
        <w:rStyle w:val="890"/>
      </w:rPr>
      <w:fldChar w:fldCharType="end"/>
    </w:r>
    <w:r>
      <w:rPr>
        <w:rStyle w:val="890"/>
      </w:rPr>
    </w:r>
    <w:r/>
  </w:p>
  <w:p>
    <w:pPr>
      <w:pStyle w:val="889"/>
      <w:ind w:right="360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0"/>
      <w:numFmt w:val="bullet"/>
      <w:isLgl w:val="false"/>
      <w:suff w:val="tab"/>
      <w:lvlText w:val="*"/>
      <w:lvlJc w:val="left"/>
      <w:pPr>
        <w:pStyle w:val="884"/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pStyle w:val="884"/>
        <w:ind w:left="720" w:hanging="360"/>
        <w:tabs>
          <w:tab w:val="num" w:pos="720" w:leader="none"/>
        </w:tabs>
      </w:pPr>
      <w:rPr>
        <w:rFonts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pStyle w:val="884"/>
        <w:ind w:left="1440" w:hanging="360"/>
        <w:tabs>
          <w:tab w:val="num" w:pos="1440" w:leader="none"/>
        </w:tabs>
      </w:pPr>
      <w:rPr>
        <w:rFonts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pStyle w:val="884"/>
        <w:ind w:left="2160" w:hanging="360"/>
        <w:tabs>
          <w:tab w:val="num" w:pos="2160" w:leader="none"/>
        </w:tabs>
      </w:pPr>
      <w:rPr>
        <w:rFonts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pStyle w:val="884"/>
        <w:ind w:left="2880" w:hanging="360"/>
        <w:tabs>
          <w:tab w:val="num" w:pos="2880" w:leader="none"/>
        </w:tabs>
      </w:pPr>
      <w:rPr>
        <w:rFonts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pStyle w:val="884"/>
        <w:ind w:left="3600" w:hanging="360"/>
        <w:tabs>
          <w:tab w:val="num" w:pos="3600" w:leader="none"/>
        </w:tabs>
      </w:pPr>
      <w:rPr>
        <w:rFonts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pStyle w:val="884"/>
        <w:ind w:left="4320" w:hanging="360"/>
        <w:tabs>
          <w:tab w:val="num" w:pos="4320" w:leader="none"/>
        </w:tabs>
      </w:pPr>
      <w:rPr>
        <w:rFonts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pStyle w:val="884"/>
        <w:ind w:left="5040" w:hanging="360"/>
        <w:tabs>
          <w:tab w:val="num" w:pos="5040" w:leader="none"/>
        </w:tabs>
      </w:pPr>
      <w:rPr>
        <w:rFonts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pStyle w:val="884"/>
        <w:ind w:left="5760" w:hanging="360"/>
        <w:tabs>
          <w:tab w:val="num" w:pos="5760" w:leader="none"/>
        </w:tabs>
      </w:pPr>
      <w:rPr>
        <w:rFonts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pStyle w:val="884"/>
        <w:ind w:left="6480" w:hanging="360"/>
        <w:tabs>
          <w:tab w:val="num" w:pos="6480" w:leader="none"/>
        </w:tabs>
      </w:pPr>
      <w:rPr>
        <w:rFonts w:ascii="Wingdings" w:hAnsi="Wingdings"/>
        <w:sz w:val="20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4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4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4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4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4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4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4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4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4"/>
        <w:ind w:left="6480" w:hanging="180"/>
        <w:tabs>
          <w:tab w:val="num" w:pos="6480" w:leader="none"/>
        </w:tabs>
      </w:pPr>
    </w:lvl>
  </w:abstractNum>
  <w:abstractNum w:abstractNumId="3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84"/>
        <w:ind w:left="928" w:hanging="360"/>
        <w:tabs>
          <w:tab w:val="num" w:pos="928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4"/>
        <w:ind w:left="1648" w:hanging="360"/>
        <w:tabs>
          <w:tab w:val="num" w:pos="1648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4"/>
        <w:ind w:left="2368" w:hanging="180"/>
        <w:tabs>
          <w:tab w:val="num" w:pos="2368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4"/>
        <w:ind w:left="3088" w:hanging="360"/>
        <w:tabs>
          <w:tab w:val="num" w:pos="3088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4"/>
        <w:ind w:left="3808" w:hanging="360"/>
        <w:tabs>
          <w:tab w:val="num" w:pos="3808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4"/>
        <w:ind w:left="4528" w:hanging="180"/>
        <w:tabs>
          <w:tab w:val="num" w:pos="4528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4"/>
        <w:ind w:left="5248" w:hanging="360"/>
        <w:tabs>
          <w:tab w:val="num" w:pos="5248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4"/>
        <w:ind w:left="5968" w:hanging="360"/>
        <w:tabs>
          <w:tab w:val="num" w:pos="5968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4"/>
        <w:ind w:left="6688" w:hanging="180"/>
        <w:tabs>
          <w:tab w:val="num" w:pos="6688" w:leader="none"/>
        </w:tabs>
      </w:pPr>
    </w:lvl>
  </w:abstractNum>
  <w:abstractNum w:abstractNumId="4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pStyle w:val="884"/>
        <w:ind w:left="540" w:hanging="540"/>
        <w:tabs>
          <w:tab w:val="num" w:pos="540" w:leader="none"/>
        </w:tabs>
      </w:pPr>
    </w:lvl>
    <w:lvl w:ilvl="1">
      <w:start w:val="2"/>
      <w:numFmt w:val="decimal"/>
      <w:isLgl w:val="false"/>
      <w:suff w:val="tab"/>
      <w:lvlText w:val="%1.%2."/>
      <w:lvlJc w:val="left"/>
      <w:pPr>
        <w:pStyle w:val="884"/>
        <w:ind w:left="720" w:hanging="720"/>
        <w:tabs>
          <w:tab w:val="num" w:pos="720" w:leader="none"/>
        </w:tabs>
      </w:pPr>
      <w:rPr>
        <w:b/>
      </w:rPr>
    </w:lvl>
    <w:lvl w:ilvl="2">
      <w:start w:val="1"/>
      <w:numFmt w:val="decimal"/>
      <w:isLgl w:val="false"/>
      <w:suff w:val="tab"/>
      <w:lvlText w:val="%1.%2.%3."/>
      <w:lvlJc w:val="left"/>
      <w:pPr>
        <w:pStyle w:val="884"/>
        <w:ind w:left="1080" w:hanging="1080"/>
        <w:tabs>
          <w:tab w:val="num" w:pos="108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84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84"/>
        <w:ind w:left="1440" w:hanging="1440"/>
        <w:tabs>
          <w:tab w:val="num" w:pos="144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84"/>
        <w:ind w:left="1800" w:hanging="1800"/>
        <w:tabs>
          <w:tab w:val="num" w:pos="180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84"/>
        <w:ind w:left="2160" w:hanging="2160"/>
        <w:tabs>
          <w:tab w:val="num" w:pos="216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84"/>
        <w:ind w:left="2160" w:hanging="2160"/>
        <w:tabs>
          <w:tab w:val="num" w:pos="216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84"/>
        <w:ind w:left="2520" w:hanging="2520"/>
        <w:tabs>
          <w:tab w:val="num" w:pos="2520" w:leader="none"/>
        </w:tabs>
      </w:p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4"/>
        <w:ind w:left="1429" w:hanging="360"/>
      </w:pPr>
    </w:lvl>
    <w:lvl w:ilvl="1">
      <w:start w:val="1"/>
      <w:numFmt w:val="bullet"/>
      <w:isLgl w:val="false"/>
      <w:suff w:val="tab"/>
      <w:lvlText w:val=""/>
      <w:lvlJc w:val="left"/>
      <w:pPr>
        <w:pStyle w:val="884"/>
        <w:ind w:left="2149" w:hanging="360"/>
      </w:pPr>
      <w:rPr>
        <w:rFonts w:ascii="Symbol" w:hAnsi="Symbol"/>
      </w:rPr>
    </w:lvl>
    <w:lvl w:ilvl="2">
      <w:start w:val="1"/>
      <w:numFmt w:val="lowerRoman"/>
      <w:isLgl w:val="false"/>
      <w:suff w:val="tab"/>
      <w:lvlText w:val="%3."/>
      <w:lvlJc w:val="right"/>
      <w:pPr>
        <w:pStyle w:val="884"/>
        <w:ind w:left="2869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84"/>
        <w:ind w:left="358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84"/>
        <w:ind w:left="430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84"/>
        <w:ind w:left="5029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84"/>
        <w:ind w:left="574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84"/>
        <w:ind w:left="646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84"/>
        <w:ind w:left="7189" w:hanging="180"/>
      </w:pPr>
    </w:lvl>
  </w:abstractNum>
  <w:abstractNum w:abstractNumId="6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84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4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4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4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4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4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4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4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4"/>
        <w:ind w:left="6480" w:hanging="180"/>
        <w:tabs>
          <w:tab w:val="num" w:pos="6480" w:leader="none"/>
        </w:tabs>
      </w:pPr>
    </w:lvl>
  </w:abstractNum>
  <w:abstractNum w:abstractNumId="7">
    <w:multiLevelType w:val="hybridMultilevel"/>
    <w:lvl w:ilvl="0">
      <w:start w:val="7"/>
      <w:numFmt w:val="decimal"/>
      <w:isLgl w:val="false"/>
      <w:suff w:val="tab"/>
      <w:lvlText w:val="%1."/>
      <w:lvlJc w:val="left"/>
      <w:pPr>
        <w:pStyle w:val="884"/>
        <w:ind w:left="420" w:hanging="420"/>
        <w:tabs>
          <w:tab w:val="num" w:pos="42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pStyle w:val="884"/>
        <w:ind w:left="720" w:hanging="720"/>
        <w:tabs>
          <w:tab w:val="num" w:pos="72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pStyle w:val="884"/>
        <w:ind w:left="720" w:hanging="720"/>
        <w:tabs>
          <w:tab w:val="num" w:pos="72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84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84"/>
        <w:ind w:left="1080" w:hanging="1080"/>
        <w:tabs>
          <w:tab w:val="num" w:pos="108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84"/>
        <w:ind w:left="1440" w:hanging="1440"/>
        <w:tabs>
          <w:tab w:val="num" w:pos="144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84"/>
        <w:ind w:left="1800" w:hanging="1800"/>
        <w:tabs>
          <w:tab w:val="num" w:pos="180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84"/>
        <w:ind w:left="1800" w:hanging="1800"/>
        <w:tabs>
          <w:tab w:val="num" w:pos="180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84"/>
        <w:ind w:left="2160" w:hanging="2160"/>
        <w:tabs>
          <w:tab w:val="num" w:pos="2160" w:leader="none"/>
        </w:tabs>
      </w:p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4"/>
        <w:ind w:left="1069" w:hanging="360"/>
        <w:tabs>
          <w:tab w:val="num" w:pos="1069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4"/>
        <w:ind w:left="1789" w:hanging="360"/>
        <w:tabs>
          <w:tab w:val="num" w:pos="1789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4"/>
        <w:ind w:left="2509" w:hanging="180"/>
        <w:tabs>
          <w:tab w:val="num" w:pos="2509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4"/>
        <w:ind w:left="3229" w:hanging="360"/>
        <w:tabs>
          <w:tab w:val="num" w:pos="3229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4"/>
        <w:ind w:left="3949" w:hanging="360"/>
        <w:tabs>
          <w:tab w:val="num" w:pos="3949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4"/>
        <w:ind w:left="4669" w:hanging="180"/>
        <w:tabs>
          <w:tab w:val="num" w:pos="4669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4"/>
        <w:ind w:left="5389" w:hanging="360"/>
        <w:tabs>
          <w:tab w:val="num" w:pos="5389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4"/>
        <w:ind w:left="6109" w:hanging="360"/>
        <w:tabs>
          <w:tab w:val="num" w:pos="6109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4"/>
        <w:ind w:left="6829" w:hanging="180"/>
        <w:tabs>
          <w:tab w:val="num" w:pos="6829" w:leader="none"/>
        </w:tabs>
      </w:p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4"/>
        <w:ind w:left="720" w:hanging="360"/>
        <w:tabs>
          <w:tab w:val="num" w:pos="72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</w:abstractNum>
  <w:abstractNum w:abstractNumId="10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pStyle w:val="884"/>
        <w:ind w:left="1070" w:hanging="360"/>
        <w:tabs>
          <w:tab w:val="num" w:pos="107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4"/>
        <w:ind w:left="1790" w:hanging="360"/>
        <w:tabs>
          <w:tab w:val="num" w:pos="179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4"/>
        <w:ind w:left="2510" w:hanging="180"/>
        <w:tabs>
          <w:tab w:val="num" w:pos="251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4"/>
        <w:ind w:left="3230" w:hanging="360"/>
        <w:tabs>
          <w:tab w:val="num" w:pos="323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4"/>
        <w:ind w:left="3950" w:hanging="360"/>
        <w:tabs>
          <w:tab w:val="num" w:pos="395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4"/>
        <w:ind w:left="4670" w:hanging="180"/>
        <w:tabs>
          <w:tab w:val="num" w:pos="467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4"/>
        <w:ind w:left="5390" w:hanging="360"/>
        <w:tabs>
          <w:tab w:val="num" w:pos="539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4"/>
        <w:ind w:left="6110" w:hanging="360"/>
        <w:tabs>
          <w:tab w:val="num" w:pos="611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4"/>
        <w:ind w:left="6830" w:hanging="180"/>
        <w:tabs>
          <w:tab w:val="num" w:pos="6830" w:leader="none"/>
        </w:tabs>
      </w:p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pStyle w:val="884"/>
        <w:ind w:left="144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pStyle w:val="884"/>
        <w:ind w:left="2160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884"/>
        <w:ind w:left="288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884"/>
        <w:ind w:left="360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884"/>
        <w:ind w:left="4320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884"/>
        <w:ind w:left="504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884"/>
        <w:ind w:left="576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884"/>
        <w:ind w:left="6480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884"/>
        <w:ind w:left="7200" w:hanging="360"/>
      </w:pPr>
      <w:rPr>
        <w:rFonts w:ascii="Wingdings" w:hAnsi="Wingdings"/>
      </w:rPr>
    </w:lvl>
  </w:abstractNum>
  <w:abstractNum w:abstractNumId="12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pStyle w:val="884"/>
        <w:ind w:left="720" w:hanging="360"/>
      </w:pPr>
      <w:rPr>
        <w:rFonts w:ascii="Symbol" w:hAnsi="Symbol"/>
      </w:rPr>
    </w:lvl>
    <w:lvl w:ilvl="1">
      <w:start w:val="1"/>
      <w:numFmt w:val="lowerLetter"/>
      <w:isLgl w:val="false"/>
      <w:suff w:val="tab"/>
      <w:lvlText w:val="%2."/>
      <w:lvlJc w:val="left"/>
      <w:pPr>
        <w:pStyle w:val="884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84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84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84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84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84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84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84"/>
        <w:ind w:left="6480" w:hanging="180"/>
      </w:p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4"/>
        <w:ind w:left="1070" w:hanging="360"/>
        <w:tabs>
          <w:tab w:val="num" w:pos="107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</w:abstractNum>
  <w:abstractNum w:abstractNumId="14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pStyle w:val="884"/>
        <w:ind w:left="3960" w:hanging="360"/>
        <w:tabs>
          <w:tab w:val="num" w:pos="39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4"/>
        <w:ind w:left="4680" w:hanging="360"/>
        <w:tabs>
          <w:tab w:val="num" w:pos="468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4"/>
        <w:ind w:left="5400" w:hanging="180"/>
        <w:tabs>
          <w:tab w:val="num" w:pos="540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4"/>
        <w:ind w:left="6120" w:hanging="360"/>
        <w:tabs>
          <w:tab w:val="num" w:pos="612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4"/>
        <w:ind w:left="6840" w:hanging="360"/>
        <w:tabs>
          <w:tab w:val="num" w:pos="684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4"/>
        <w:ind w:left="7560" w:hanging="180"/>
        <w:tabs>
          <w:tab w:val="num" w:pos="756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4"/>
        <w:ind w:left="8280" w:hanging="360"/>
        <w:tabs>
          <w:tab w:val="num" w:pos="828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4"/>
        <w:ind w:left="9000" w:hanging="360"/>
        <w:tabs>
          <w:tab w:val="num" w:pos="900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4"/>
        <w:ind w:left="9720" w:hanging="180"/>
        <w:tabs>
          <w:tab w:val="num" w:pos="9720" w:leader="none"/>
        </w:tabs>
      </w:p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4"/>
        <w:ind w:left="3960" w:hanging="360"/>
        <w:tabs>
          <w:tab w:val="num" w:pos="39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4"/>
        <w:ind w:left="4680" w:hanging="360"/>
        <w:tabs>
          <w:tab w:val="num" w:pos="468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4"/>
        <w:ind w:left="5400" w:hanging="180"/>
        <w:tabs>
          <w:tab w:val="num" w:pos="540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4"/>
        <w:ind w:left="6120" w:hanging="360"/>
        <w:tabs>
          <w:tab w:val="num" w:pos="612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4"/>
        <w:ind w:left="6840" w:hanging="360"/>
        <w:tabs>
          <w:tab w:val="num" w:pos="684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4"/>
        <w:ind w:left="7560" w:hanging="180"/>
        <w:tabs>
          <w:tab w:val="num" w:pos="756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4"/>
        <w:ind w:left="8280" w:hanging="360"/>
        <w:tabs>
          <w:tab w:val="num" w:pos="828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4"/>
        <w:ind w:left="9000" w:hanging="360"/>
        <w:tabs>
          <w:tab w:val="num" w:pos="900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4"/>
        <w:ind w:left="9720" w:hanging="180"/>
        <w:tabs>
          <w:tab w:val="num" w:pos="9720" w:leader="none"/>
        </w:tabs>
      </w:pPr>
    </w:lvl>
  </w:abstractNum>
  <w:num w:numId="1">
    <w:abstractNumId w:val="3"/>
  </w:num>
  <w:num w:numId="2">
    <w:abstractNumId w:val="10"/>
  </w:num>
  <w:num w:numId="3">
    <w:abstractNumId w:val="13"/>
  </w:num>
  <w:num w:numId="4">
    <w:abstractNumId w:val="1"/>
  </w:num>
  <w:num w:numId="5">
    <w:abstractNumId w:val="8"/>
  </w:num>
  <w:num w:numId="6">
    <w:abstractNumId w:val="2"/>
  </w:num>
  <w:num w:numId="7">
    <w:abstractNumId w:val="9"/>
  </w:num>
  <w:num w:numId="8">
    <w:abstractNumId w:val="4"/>
  </w:num>
  <w:num w:numId="9">
    <w:abstractNumId w:val="7"/>
  </w:num>
  <w:num w:numId="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"/>
  </w:num>
  <w:num w:numId="14">
    <w:abstractNumId w:val="15"/>
  </w:num>
  <w:num w:numId="15">
    <w:abstractNumId w:val="14"/>
  </w:num>
  <w:num w:numId="16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84"/>
        </w:pPr>
        <w:rPr>
          <w:rFonts w:ascii="Times New Roman" w:hAnsi="Times New Roman"/>
        </w:rPr>
      </w:lvl>
    </w:lvlOverride>
  </w:num>
  <w:num w:numId="17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84"/>
        </w:pPr>
        <w:rPr>
          <w:rFonts w:ascii="Times New Roman" w:hAnsi="Times New Roman"/>
        </w:rPr>
      </w:lvl>
    </w:lvlOverride>
  </w:num>
  <w:num w:numId="18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84"/>
        </w:pPr>
        <w:rPr>
          <w:rFonts w:ascii="Times New Roman" w:hAnsi="Times New Roman"/>
        </w:rPr>
      </w:lvl>
    </w:lvlOverride>
  </w:num>
  <w:num w:numId="19">
    <w:abstractNumId w:val="12"/>
  </w:num>
  <w:num w:numId="20">
    <w:abstractNumId w:val="11"/>
  </w:num>
  <w:num w:numId="21">
    <w:abstractNumId w:val="5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20"/>
  <m:mathPr/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bidi="ar-SA" w:eastAsia="zh-C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07">
    <w:name w:val="Heading 1"/>
    <w:link w:val="708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708">
    <w:name w:val="Heading 1 Char"/>
    <w:link w:val="707"/>
    <w:uiPriority w:val="9"/>
    <w:rPr>
      <w:rFonts w:ascii="Arial" w:hAnsi="Arial" w:cs="Arial" w:eastAsia="Arial"/>
      <w:sz w:val="40"/>
      <w:szCs w:val="40"/>
    </w:rPr>
  </w:style>
  <w:style w:type="paragraph" w:styleId="709">
    <w:name w:val="Heading 2"/>
    <w:link w:val="710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710">
    <w:name w:val="Heading 2 Char"/>
    <w:link w:val="709"/>
    <w:uiPriority w:val="9"/>
    <w:rPr>
      <w:rFonts w:ascii="Arial" w:hAnsi="Arial" w:cs="Arial" w:eastAsia="Arial"/>
      <w:sz w:val="34"/>
    </w:rPr>
  </w:style>
  <w:style w:type="paragraph" w:styleId="711">
    <w:name w:val="Heading 3"/>
    <w:link w:val="712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712">
    <w:name w:val="Heading 3 Char"/>
    <w:link w:val="711"/>
    <w:uiPriority w:val="9"/>
    <w:rPr>
      <w:rFonts w:ascii="Arial" w:hAnsi="Arial" w:cs="Arial" w:eastAsia="Arial"/>
      <w:sz w:val="30"/>
      <w:szCs w:val="30"/>
    </w:rPr>
  </w:style>
  <w:style w:type="paragraph" w:styleId="713">
    <w:name w:val="Heading 4"/>
    <w:link w:val="714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714">
    <w:name w:val="Heading 4 Char"/>
    <w:link w:val="713"/>
    <w:uiPriority w:val="9"/>
    <w:rPr>
      <w:rFonts w:ascii="Arial" w:hAnsi="Arial" w:cs="Arial" w:eastAsia="Arial"/>
      <w:b/>
      <w:bCs/>
      <w:sz w:val="26"/>
      <w:szCs w:val="26"/>
    </w:rPr>
  </w:style>
  <w:style w:type="paragraph" w:styleId="715">
    <w:name w:val="Heading 5"/>
    <w:link w:val="716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716">
    <w:name w:val="Heading 5 Char"/>
    <w:link w:val="715"/>
    <w:uiPriority w:val="9"/>
    <w:rPr>
      <w:rFonts w:ascii="Arial" w:hAnsi="Arial" w:cs="Arial" w:eastAsia="Arial"/>
      <w:b/>
      <w:bCs/>
      <w:sz w:val="24"/>
      <w:szCs w:val="24"/>
    </w:rPr>
  </w:style>
  <w:style w:type="paragraph" w:styleId="717">
    <w:name w:val="Heading 6"/>
    <w:link w:val="718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718">
    <w:name w:val="Heading 6 Char"/>
    <w:link w:val="717"/>
    <w:uiPriority w:val="9"/>
    <w:rPr>
      <w:rFonts w:ascii="Arial" w:hAnsi="Arial" w:cs="Arial" w:eastAsia="Arial"/>
      <w:b/>
      <w:bCs/>
      <w:sz w:val="22"/>
      <w:szCs w:val="22"/>
    </w:rPr>
  </w:style>
  <w:style w:type="paragraph" w:styleId="719">
    <w:name w:val="Heading 7"/>
    <w:link w:val="720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720">
    <w:name w:val="Heading 7 Char"/>
    <w:link w:val="719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721">
    <w:name w:val="Heading 8"/>
    <w:link w:val="722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722">
    <w:name w:val="Heading 8 Char"/>
    <w:link w:val="721"/>
    <w:uiPriority w:val="9"/>
    <w:rPr>
      <w:rFonts w:ascii="Arial" w:hAnsi="Arial" w:cs="Arial" w:eastAsia="Arial"/>
      <w:i/>
      <w:iCs/>
      <w:sz w:val="22"/>
      <w:szCs w:val="22"/>
    </w:rPr>
  </w:style>
  <w:style w:type="paragraph" w:styleId="723">
    <w:name w:val="Heading 9"/>
    <w:link w:val="724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724">
    <w:name w:val="Heading 9 Char"/>
    <w:link w:val="723"/>
    <w:uiPriority w:val="9"/>
    <w:rPr>
      <w:rFonts w:ascii="Arial" w:hAnsi="Arial" w:cs="Arial" w:eastAsia="Arial"/>
      <w:i/>
      <w:iCs/>
      <w:sz w:val="21"/>
      <w:szCs w:val="21"/>
    </w:rPr>
  </w:style>
  <w:style w:type="paragraph" w:styleId="725">
    <w:name w:val="List Paragraph"/>
    <w:qFormat/>
    <w:uiPriority w:val="34"/>
    <w:pPr>
      <w:contextualSpacing w:val="true"/>
      <w:ind w:left="720"/>
    </w:pPr>
  </w:style>
  <w:style w:type="paragraph" w:styleId="726">
    <w:name w:val="Title"/>
    <w:link w:val="727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727">
    <w:name w:val="Title Char"/>
    <w:link w:val="726"/>
    <w:uiPriority w:val="10"/>
    <w:rPr>
      <w:sz w:val="48"/>
      <w:szCs w:val="48"/>
    </w:rPr>
  </w:style>
  <w:style w:type="paragraph" w:styleId="728">
    <w:name w:val="Subtitle"/>
    <w:link w:val="729"/>
    <w:qFormat/>
    <w:uiPriority w:val="11"/>
    <w:rPr>
      <w:sz w:val="24"/>
      <w:szCs w:val="24"/>
    </w:rPr>
    <w:pPr>
      <w:spacing w:after="200" w:before="200"/>
    </w:pPr>
  </w:style>
  <w:style w:type="character" w:styleId="729">
    <w:name w:val="Subtitle Char"/>
    <w:link w:val="728"/>
    <w:uiPriority w:val="11"/>
    <w:rPr>
      <w:sz w:val="24"/>
      <w:szCs w:val="24"/>
    </w:rPr>
  </w:style>
  <w:style w:type="paragraph" w:styleId="730">
    <w:name w:val="Quote"/>
    <w:link w:val="731"/>
    <w:qFormat/>
    <w:uiPriority w:val="29"/>
    <w:rPr>
      <w:i/>
    </w:rPr>
    <w:pPr>
      <w:ind w:left="720" w:right="720"/>
    </w:pPr>
  </w:style>
  <w:style w:type="character" w:styleId="731">
    <w:name w:val="Quote Char"/>
    <w:link w:val="730"/>
    <w:uiPriority w:val="29"/>
    <w:rPr>
      <w:i/>
    </w:rPr>
  </w:style>
  <w:style w:type="paragraph" w:styleId="732">
    <w:name w:val="Intense Quote"/>
    <w:link w:val="733"/>
    <w:qFormat/>
    <w:uiPriority w:val="30"/>
    <w:rPr>
      <w:i/>
    </w:rPr>
    <w:pPr>
      <w:contextualSpacing w:val="false"/>
      <w:ind w:left="720" w:right="720"/>
      <w:shd w:val="clear" w:fill="F2F2F2" w:color="auto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733">
    <w:name w:val="Intense Quote Char"/>
    <w:link w:val="732"/>
    <w:uiPriority w:val="30"/>
    <w:rPr>
      <w:i/>
    </w:rPr>
  </w:style>
  <w:style w:type="paragraph" w:styleId="734">
    <w:name w:val="Header"/>
    <w:link w:val="735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35">
    <w:name w:val="Header Char"/>
    <w:link w:val="734"/>
    <w:uiPriority w:val="99"/>
  </w:style>
  <w:style w:type="paragraph" w:styleId="736">
    <w:name w:val="Footer"/>
    <w:link w:val="739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37">
    <w:name w:val="Footer Char"/>
    <w:link w:val="736"/>
    <w:uiPriority w:val="99"/>
  </w:style>
  <w:style w:type="paragraph" w:styleId="738">
    <w:name w:val="Caption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739">
    <w:name w:val="Caption Char"/>
    <w:basedOn w:val="738"/>
    <w:link w:val="736"/>
    <w:uiPriority w:val="99"/>
  </w:style>
  <w:style w:type="table" w:styleId="740">
    <w:name w:val="Table Grid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1">
    <w:name w:val="Table Grid Light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2">
    <w:name w:val="Plain Table 1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3">
    <w:name w:val="Plain Table 2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4">
    <w:name w:val="Plain Table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45">
    <w:name w:val="Plain Table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Plain Table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747">
    <w:name w:val="Grid Table 1 Light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Grid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Grid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Grid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Grid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Grid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3">
    <w:name w:val="Grid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>
    <w:name w:val="Grid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755">
    <w:name w:val="Grid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756">
    <w:name w:val="Grid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57">
    <w:name w:val="Grid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58">
    <w:name w:val="Grid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59">
    <w:name w:val="Grid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60">
    <w:name w:val="Grid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61">
    <w:name w:val="Grid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2">
    <w:name w:val="Grid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3">
    <w:name w:val="Grid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4">
    <w:name w:val="Grid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5">
    <w:name w:val="Grid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6">
    <w:name w:val="Grid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7">
    <w:name w:val="Grid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8">
    <w:name w:val="Grid Table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69">
    <w:name w:val="Grid Table 4 - Accent 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FillTint="EA" w:themeColor="accent1" w:theme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770">
    <w:name w:val="Grid Table 4 - Accent 2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771">
    <w:name w:val="Grid Table 4 - Accent 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FE" w:themeColor="accent3" w:theme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772">
    <w:name w:val="Grid Table 4 - Accent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773">
    <w:name w:val="Grid Table 4 - Accent 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774">
    <w:name w:val="Grid Table 4 - Accent 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775">
    <w:name w:val="Grid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text1" w:themeFillTint="40" w:themeColor="text1" w:themeTint="40"/>
    </w:tblPr>
    <w:tblStylePr w:type="band1Horz">
      <w:tcPr>
        <w:shd w:val="clear" w:color="FFFFFF" w:themeFill="text1" w:themeFillTint="75" w:themeColor="text1" w:themeTint="75"/>
      </w:tcPr>
    </w:tblStylePr>
    <w:tblStylePr w:type="band1Vert">
      <w:tcPr>
        <w:shd w:val="clear" w:color="FFFFFF" w:themeFill="text1" w:themeFillTint="75" w:themeColor="tex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top w:val="single" w:color="000000" w:sz="4" w:space="0" w:themeColor="light1"/>
        </w:tcBorders>
      </w:tcPr>
    </w:tblStylePr>
  </w:style>
  <w:style w:type="table" w:styleId="776">
    <w:name w:val="Grid Table 5 Dark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1" w:themeFillTint="34" w:themeColor="accent1" w:themeTint="34"/>
    </w:tblPr>
    <w:tblStylePr w:type="band1Horz">
      <w:tcPr>
        <w:shd w:val="clear" w:color="FFFFFF" w:themeFill="accent1" w:themeFillTint="75" w:themeColor="accent1" w:themeTint="75"/>
      </w:tcPr>
    </w:tblStylePr>
    <w:tblStylePr w:type="band1Vert">
      <w:tcPr>
        <w:shd w:val="clear" w:color="FFFFFF" w:themeFill="accent1" w:themeFillTint="75" w:themeColor="accen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1" w:themeColor="accent1"/>
        <w:tcBorders>
          <w:top w:val="single" w:color="000000" w:sz="4" w:space="0" w:themeColor="light1"/>
        </w:tcBorders>
      </w:tcPr>
    </w:tblStylePr>
  </w:style>
  <w:style w:type="table" w:styleId="777">
    <w:name w:val="Grid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2" w:themeFillTint="32" w:themeColor="accent2" w:themeTint="32"/>
    </w:tblPr>
    <w:tblStylePr w:type="band1Horz">
      <w:tcPr>
        <w:shd w:val="clear" w:color="FFFFFF" w:themeFill="accent2" w:themeFillTint="75" w:themeColor="accent2" w:themeTint="75"/>
      </w:tcPr>
    </w:tblStylePr>
    <w:tblStylePr w:type="band1Vert">
      <w:tcPr>
        <w:shd w:val="clear" w:color="FFFFFF" w:themeFill="accent2" w:themeFillTint="75" w:themeColor="accent2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2" w:themeColor="accent2"/>
        <w:tcBorders>
          <w:top w:val="single" w:color="000000" w:sz="4" w:space="0" w:themeColor="light1"/>
        </w:tcBorders>
      </w:tcPr>
    </w:tblStylePr>
  </w:style>
  <w:style w:type="table" w:styleId="778">
    <w:name w:val="Grid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3" w:themeFillTint="34" w:themeColor="accent3" w:themeTint="34"/>
    </w:tblPr>
    <w:tblStylePr w:type="band1Horz">
      <w:tcPr>
        <w:shd w:val="clear" w:color="FFFFFF" w:themeFill="accent3" w:themeFillTint="75" w:themeColor="accent3" w:themeTint="75"/>
      </w:tcPr>
    </w:tblStylePr>
    <w:tblStylePr w:type="band1Vert">
      <w:tcPr>
        <w:shd w:val="clear" w:color="FFFFFF" w:themeFill="accent3" w:themeFillTint="75" w:themeColor="accent3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3" w:themeColor="accent3"/>
        <w:tcBorders>
          <w:top w:val="single" w:color="000000" w:sz="4" w:space="0" w:themeColor="light1"/>
        </w:tcBorders>
      </w:tcPr>
    </w:tblStylePr>
  </w:style>
  <w:style w:type="table" w:styleId="779">
    <w:name w:val="Grid Table 5 Dark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4" w:themeFillTint="34" w:themeColor="accent4" w:themeTint="34"/>
    </w:tblPr>
    <w:tblStylePr w:type="band1Horz">
      <w:tcPr>
        <w:shd w:val="clear" w:color="FFFFFF" w:themeFill="accent4" w:themeFillTint="75" w:themeColor="accent4" w:themeTint="75"/>
      </w:tcPr>
    </w:tblStylePr>
    <w:tblStylePr w:type="band1Vert">
      <w:tcPr>
        <w:shd w:val="clear" w:color="FFFFFF" w:themeFill="accent4" w:themeFillTint="75" w:themeColor="accent4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4" w:themeColor="accent4"/>
        <w:tcBorders>
          <w:top w:val="single" w:color="000000" w:sz="4" w:space="0" w:themeColor="light1"/>
        </w:tcBorders>
      </w:tcPr>
    </w:tblStylePr>
  </w:style>
  <w:style w:type="table" w:styleId="780">
    <w:name w:val="Grid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5" w:themeFillTint="34" w:themeColor="accent5" w:themeTint="34"/>
    </w:tblPr>
    <w:tblStylePr w:type="band1Horz">
      <w:tcPr>
        <w:shd w:val="clear" w:color="FFFFFF" w:themeFill="accent5" w:themeFillTint="75" w:themeColor="accent5" w:themeTint="75"/>
      </w:tcPr>
    </w:tblStylePr>
    <w:tblStylePr w:type="band1Vert">
      <w:tcPr>
        <w:shd w:val="clear" w:color="FFFFFF" w:themeFill="accent5" w:themeFillTint="75" w:themeColor="accent5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top w:val="single" w:color="000000" w:sz="4" w:space="0" w:themeColor="light1"/>
        </w:tcBorders>
      </w:tcPr>
    </w:tblStylePr>
  </w:style>
  <w:style w:type="table" w:styleId="781">
    <w:name w:val="Grid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6" w:themeFillTint="34" w:themeColor="accent6" w:themeTint="34"/>
    </w:tblPr>
    <w:tblStylePr w:type="band1Horz">
      <w:tcPr>
        <w:shd w:val="clear" w:color="FFFFFF" w:themeFill="accent6" w:themeFillTint="75" w:themeColor="accent6" w:themeTint="75"/>
      </w:tcPr>
    </w:tblStylePr>
    <w:tblStylePr w:type="band1Vert">
      <w:tcPr>
        <w:shd w:val="clear" w:color="FFFFFF" w:themeFill="accent6" w:themeFillTint="75" w:themeColor="accent6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top w:val="single" w:color="000000" w:sz="4" w:space="0" w:themeColor="light1"/>
        </w:tcBorders>
      </w:tcPr>
    </w:tblStylePr>
  </w:style>
  <w:style w:type="table" w:styleId="782">
    <w:name w:val="Grid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Fill="text1" w:themeFillTint="34" w:themeColor="text1" w:themeTint="34"/>
      </w:tcPr>
    </w:tblStylePr>
    <w:tblStylePr w:type="band1Vert">
      <w:tcPr>
        <w:shd w:val="clear" w:color="FFFFFF" w:themeFill="text1" w:themeFillTint="34" w:themeColor="text1" w:theme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83">
    <w:name w:val="Grid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84">
    <w:name w:val="Grid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85">
    <w:name w:val="Grid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86">
    <w:name w:val="Grid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87">
    <w:name w:val="Grid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88">
    <w:name w:val="Grid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89">
    <w:name w:val="Grid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790">
    <w:name w:val="Grid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791">
    <w:name w:val="Grid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92">
    <w:name w:val="Grid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93">
    <w:name w:val="Grid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94">
    <w:name w:val="Grid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795">
    <w:name w:val="Grid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796">
    <w:name w:val="List Table 1 Light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797">
    <w:name w:val="List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798">
    <w:name w:val="List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799">
    <w:name w:val="List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800">
    <w:name w:val="List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801">
    <w:name w:val="List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802">
    <w:name w:val="List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803">
    <w:name w:val="List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804">
    <w:name w:val="List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805">
    <w:name w:val="List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806">
    <w:name w:val="List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807">
    <w:name w:val="List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808">
    <w:name w:val="List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809">
    <w:name w:val="List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810">
    <w:name w:val="List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>
    <w:name w:val="List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>
    <w:name w:val="List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>
    <w:name w:val="List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98" w:themeColor="accent3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>
    <w:name w:val="List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>
    <w:name w:val="List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FillTint="9A" w:themeColor="accent5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>
    <w:name w:val="List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FillTint="98" w:themeColor="accent6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>
    <w:name w:val="List Table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>
    <w:name w:val="List Table 4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>
    <w:name w:val="List Table 4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>
    <w:name w:val="List Table 4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>
    <w:name w:val="List Table 4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>
    <w:name w:val="List Table 4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3">
    <w:name w:val="List Table 4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4">
    <w:name w:val="List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FFFFFF" w:themeFill="text1" w:themeFillTint="80" w:themeColor="text1" w:themeTint="80"/>
    </w:tblPr>
    <w:tblStylePr w:type="band1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text1" w:themeFillTint="80" w:themeColor="text1" w:theme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text1" w:themeFillTint="80" w:themeColor="text1" w:theme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5">
    <w:name w:val="List Table 5 Dark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FFFFFF" w:themeFill="accent1" w:themeColor="accent1"/>
    </w:tblPr>
    <w:tblStylePr w:type="band1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1" w:themeColor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1" w:themeColor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6">
    <w:name w:val="List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FFFFFF" w:themeFill="accent2" w:themeFillTint="97" w:themeColor="accent2" w:themeTint="97"/>
    </w:tblPr>
    <w:tblStylePr w:type="band1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2" w:themeFillTint="97" w:themeColor="accent2" w:theme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2" w:themeFillTint="97" w:themeColor="accent2" w:theme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7">
    <w:name w:val="List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FFFFFF" w:themeFill="accent3" w:themeFillTint="98" w:themeColor="accent3" w:themeTint="98"/>
    </w:tblPr>
    <w:tblStylePr w:type="band1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3" w:themeFillTint="98" w:themeColor="accent3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3" w:themeFillTint="98" w:themeColor="accent3" w:theme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8">
    <w:name w:val="List Table 5 Dark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FFFFFF" w:themeFill="accent4" w:themeFillTint="9A" w:themeColor="accent4" w:themeTint="9A"/>
    </w:tblPr>
    <w:tblStylePr w:type="band1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4" w:themeFillTint="9A" w:themeColor="accent4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4" w:themeFillTint="9A" w:themeColor="accent4" w:theme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9">
    <w:name w:val="List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FFFFFF" w:themeFill="accent5" w:themeFillTint="9A" w:themeColor="accent5" w:themeTint="9A"/>
    </w:tblPr>
    <w:tblStylePr w:type="band1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5" w:themeFillTint="9A" w:themeColor="accent5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5" w:themeFillTint="9A" w:themeColor="accent5" w:theme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0">
    <w:name w:val="List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FFFFFF" w:themeFill="accent6" w:themeFillTint="98" w:themeColor="accent6" w:themeTint="98"/>
    </w:tblPr>
    <w:tblStylePr w:type="band1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6" w:themeFillTint="98" w:themeColor="accent6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6" w:themeFillTint="98" w:themeColor="accent6" w:theme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1">
    <w:name w:val="List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832">
    <w:name w:val="List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833">
    <w:name w:val="List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834">
    <w:name w:val="List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835">
    <w:name w:val="List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836">
    <w:name w:val="List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837">
    <w:name w:val="List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838">
    <w:name w:val="List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39">
    <w:name w:val="List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40">
    <w:name w:val="List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41">
    <w:name w:val="List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42">
    <w:name w:val="List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43">
    <w:name w:val="List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44">
    <w:name w:val="List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45">
    <w:name w:val="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46">
    <w:name w:val="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47">
    <w:name w:val="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48">
    <w:name w:val="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49">
    <w:name w:val="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50">
    <w:name w:val="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51">
    <w:name w:val="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52">
    <w:name w:val="Bordered &amp; 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53">
    <w:name w:val="Bordered &amp; 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54">
    <w:name w:val="Bordered &amp; 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55">
    <w:name w:val="Bordered &amp; 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56">
    <w:name w:val="Bordered &amp; 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57">
    <w:name w:val="Bordered &amp; 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58">
    <w:name w:val="Bordered &amp; 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59">
    <w:name w:val="Bordered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860">
    <w:name w:val="Bordered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861">
    <w:name w:val="Bordered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862">
    <w:name w:val="Bordered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863">
    <w:name w:val="Bordered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864">
    <w:name w:val="Bordered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865">
    <w:name w:val="Bordered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866">
    <w:name w:val="Hyperlink"/>
    <w:uiPriority w:val="99"/>
    <w:unhideWhenUsed/>
    <w:rPr>
      <w:color w:val="0000FF" w:themeColor="hyperlink"/>
      <w:u w:val="single"/>
    </w:rPr>
  </w:style>
  <w:style w:type="paragraph" w:styleId="867">
    <w:name w:val="footnote text"/>
    <w:link w:val="868"/>
    <w:uiPriority w:val="99"/>
    <w:semiHidden/>
    <w:unhideWhenUsed/>
    <w:rPr>
      <w:sz w:val="18"/>
    </w:rPr>
    <w:pPr>
      <w:spacing w:lineRule="auto" w:line="240" w:after="40"/>
    </w:pPr>
  </w:style>
  <w:style w:type="character" w:styleId="868">
    <w:name w:val="Footnote Text Char"/>
    <w:link w:val="867"/>
    <w:uiPriority w:val="99"/>
    <w:rPr>
      <w:sz w:val="18"/>
    </w:rPr>
  </w:style>
  <w:style w:type="character" w:styleId="869">
    <w:name w:val="footnote reference"/>
    <w:uiPriority w:val="99"/>
    <w:unhideWhenUsed/>
    <w:rPr>
      <w:vertAlign w:val="superscript"/>
    </w:rPr>
  </w:style>
  <w:style w:type="paragraph" w:styleId="870">
    <w:name w:val="endnote text"/>
    <w:link w:val="871"/>
    <w:uiPriority w:val="99"/>
    <w:semiHidden/>
    <w:unhideWhenUsed/>
    <w:rPr>
      <w:sz w:val="20"/>
    </w:rPr>
    <w:pPr>
      <w:spacing w:lineRule="auto" w:line="240" w:after="0"/>
    </w:pPr>
  </w:style>
  <w:style w:type="character" w:styleId="871">
    <w:name w:val="Endnote Text Char"/>
    <w:link w:val="870"/>
    <w:uiPriority w:val="99"/>
    <w:rPr>
      <w:sz w:val="20"/>
    </w:rPr>
  </w:style>
  <w:style w:type="character" w:styleId="872">
    <w:name w:val="endnote reference"/>
    <w:uiPriority w:val="99"/>
    <w:semiHidden/>
    <w:unhideWhenUsed/>
    <w:rPr>
      <w:vertAlign w:val="superscript"/>
    </w:rPr>
  </w:style>
  <w:style w:type="paragraph" w:styleId="873">
    <w:name w:val="toc 1"/>
    <w:uiPriority w:val="39"/>
    <w:unhideWhenUsed/>
    <w:pPr>
      <w:ind w:left="0" w:right="0" w:firstLine="0"/>
      <w:spacing w:after="57"/>
    </w:pPr>
  </w:style>
  <w:style w:type="paragraph" w:styleId="874">
    <w:name w:val="toc 2"/>
    <w:uiPriority w:val="39"/>
    <w:unhideWhenUsed/>
    <w:pPr>
      <w:ind w:left="283" w:right="0" w:firstLine="0"/>
      <w:spacing w:after="57"/>
    </w:pPr>
  </w:style>
  <w:style w:type="paragraph" w:styleId="875">
    <w:name w:val="toc 3"/>
    <w:uiPriority w:val="39"/>
    <w:unhideWhenUsed/>
    <w:pPr>
      <w:ind w:left="567" w:right="0" w:firstLine="0"/>
      <w:spacing w:after="57"/>
    </w:pPr>
  </w:style>
  <w:style w:type="paragraph" w:styleId="876">
    <w:name w:val="toc 4"/>
    <w:uiPriority w:val="39"/>
    <w:unhideWhenUsed/>
    <w:pPr>
      <w:ind w:left="850" w:right="0" w:firstLine="0"/>
      <w:spacing w:after="57"/>
    </w:pPr>
  </w:style>
  <w:style w:type="paragraph" w:styleId="877">
    <w:name w:val="toc 5"/>
    <w:uiPriority w:val="39"/>
    <w:unhideWhenUsed/>
    <w:pPr>
      <w:ind w:left="1134" w:right="0" w:firstLine="0"/>
      <w:spacing w:after="57"/>
    </w:pPr>
  </w:style>
  <w:style w:type="paragraph" w:styleId="878">
    <w:name w:val="toc 6"/>
    <w:uiPriority w:val="39"/>
    <w:unhideWhenUsed/>
    <w:pPr>
      <w:ind w:left="1417" w:right="0" w:firstLine="0"/>
      <w:spacing w:after="57"/>
    </w:pPr>
  </w:style>
  <w:style w:type="paragraph" w:styleId="879">
    <w:name w:val="toc 7"/>
    <w:uiPriority w:val="39"/>
    <w:unhideWhenUsed/>
    <w:pPr>
      <w:ind w:left="1701" w:right="0" w:firstLine="0"/>
      <w:spacing w:after="57"/>
    </w:pPr>
  </w:style>
  <w:style w:type="paragraph" w:styleId="880">
    <w:name w:val="toc 8"/>
    <w:uiPriority w:val="39"/>
    <w:unhideWhenUsed/>
    <w:pPr>
      <w:ind w:left="1984" w:right="0" w:firstLine="0"/>
      <w:spacing w:after="57"/>
    </w:pPr>
  </w:style>
  <w:style w:type="paragraph" w:styleId="881">
    <w:name w:val="toc 9"/>
    <w:uiPriority w:val="39"/>
    <w:unhideWhenUsed/>
    <w:pPr>
      <w:ind w:left="2268" w:right="0" w:firstLine="0"/>
      <w:spacing w:after="57"/>
    </w:pPr>
  </w:style>
  <w:style w:type="paragraph" w:styleId="882">
    <w:name w:val="TOC Heading"/>
    <w:uiPriority w:val="39"/>
    <w:unhideWhenUsed/>
  </w:style>
  <w:style w:type="paragraph" w:styleId="883">
    <w:name w:val="table of figures"/>
    <w:uiPriority w:val="99"/>
    <w:unhideWhenUsed/>
    <w:pPr>
      <w:spacing w:after="0" w:afterAutospacing="0"/>
    </w:pPr>
  </w:style>
  <w:style w:type="paragraph" w:styleId="884">
    <w:name w:val="Обычный"/>
    <w:next w:val="884"/>
    <w:link w:val="884"/>
    <w:rPr>
      <w:lang w:val="ru-RU" w:bidi="ar-SA" w:eastAsia="ru-RU"/>
    </w:rPr>
    <w:pPr>
      <w:widowControl w:val="off"/>
    </w:pPr>
  </w:style>
  <w:style w:type="character" w:styleId="885">
    <w:name w:val="Основной шрифт абзаца"/>
    <w:next w:val="885"/>
    <w:link w:val="884"/>
    <w:semiHidden/>
  </w:style>
  <w:style w:type="table" w:styleId="886">
    <w:name w:val="Обычная таблица"/>
    <w:next w:val="886"/>
    <w:link w:val="884"/>
    <w:semiHidden/>
    <w:tblPr/>
  </w:style>
  <w:style w:type="numbering" w:styleId="887">
    <w:name w:val="Нет списка"/>
    <w:next w:val="887"/>
    <w:link w:val="884"/>
    <w:semiHidden/>
  </w:style>
  <w:style w:type="paragraph" w:styleId="888">
    <w:name w:val="Текст выноски"/>
    <w:basedOn w:val="884"/>
    <w:next w:val="888"/>
    <w:link w:val="884"/>
    <w:semiHidden/>
    <w:rPr>
      <w:rFonts w:ascii="Tahoma" w:hAnsi="Tahoma"/>
      <w:sz w:val="16"/>
      <w:szCs w:val="16"/>
    </w:rPr>
  </w:style>
  <w:style w:type="paragraph" w:styleId="889">
    <w:name w:val="Верхний колонтитул"/>
    <w:basedOn w:val="884"/>
    <w:next w:val="889"/>
    <w:link w:val="900"/>
    <w:pPr>
      <w:tabs>
        <w:tab w:val="center" w:pos="4677" w:leader="none"/>
        <w:tab w:val="right" w:pos="9355" w:leader="none"/>
      </w:tabs>
    </w:pPr>
  </w:style>
  <w:style w:type="character" w:styleId="890">
    <w:name w:val="Номер страницы"/>
    <w:basedOn w:val="885"/>
    <w:next w:val="890"/>
    <w:link w:val="884"/>
  </w:style>
  <w:style w:type="table" w:styleId="891">
    <w:name w:val="Сетка таблицы"/>
    <w:basedOn w:val="886"/>
    <w:next w:val="891"/>
    <w:link w:val="884"/>
    <w:tblPr/>
  </w:style>
  <w:style w:type="paragraph" w:styleId="892">
    <w:name w:val="ConsPlusNormal"/>
    <w:next w:val="892"/>
    <w:link w:val="894"/>
    <w:rPr>
      <w:rFonts w:ascii="Arial" w:hAnsi="Arial"/>
      <w:lang w:val="ru-RU" w:bidi="ar-SA" w:eastAsia="ru-RU"/>
    </w:rPr>
    <w:pPr>
      <w:ind w:firstLine="720"/>
      <w:widowControl w:val="off"/>
    </w:pPr>
  </w:style>
  <w:style w:type="paragraph" w:styleId="893">
    <w:name w:val="ConsPlusNonformat"/>
    <w:next w:val="893"/>
    <w:link w:val="884"/>
    <w:rPr>
      <w:rFonts w:ascii="Courier New" w:hAnsi="Courier New"/>
      <w:lang w:val="ru-RU" w:bidi="ar-SA" w:eastAsia="ru-RU"/>
    </w:rPr>
    <w:pPr>
      <w:widowControl w:val="off"/>
    </w:pPr>
  </w:style>
  <w:style w:type="character" w:styleId="894">
    <w:name w:val="ConsPlusNormal Знак"/>
    <w:next w:val="894"/>
    <w:link w:val="892"/>
    <w:rPr>
      <w:rFonts w:ascii="Arial" w:hAnsi="Arial"/>
      <w:lang w:val="ru-RU" w:bidi="ar-SA" w:eastAsia="ru-RU"/>
    </w:rPr>
  </w:style>
  <w:style w:type="paragraph" w:styleId="895">
    <w:name w:val="Название"/>
    <w:basedOn w:val="884"/>
    <w:next w:val="895"/>
    <w:link w:val="884"/>
    <w:rPr>
      <w:b/>
      <w:sz w:val="32"/>
    </w:rPr>
    <w:pPr>
      <w:jc w:val="center"/>
      <w:widowControl/>
    </w:pPr>
  </w:style>
  <w:style w:type="paragraph" w:styleId="896">
    <w:name w:val="Основной текст 3"/>
    <w:basedOn w:val="884"/>
    <w:next w:val="896"/>
    <w:link w:val="884"/>
    <w:rPr>
      <w:sz w:val="16"/>
      <w:szCs w:val="16"/>
    </w:rPr>
    <w:pPr>
      <w:spacing w:after="120"/>
      <w:widowControl/>
    </w:pPr>
  </w:style>
  <w:style w:type="character" w:styleId="897">
    <w:name w:val="Гиперссылка"/>
    <w:next w:val="897"/>
    <w:link w:val="884"/>
    <w:rPr>
      <w:color w:val="0000FF"/>
      <w:u w:val="single"/>
    </w:rPr>
  </w:style>
  <w:style w:type="paragraph" w:styleId="898">
    <w:name w:val="Обычный (веб)"/>
    <w:basedOn w:val="884"/>
    <w:next w:val="898"/>
    <w:link w:val="884"/>
    <w:rPr>
      <w:color w:val="000000"/>
      <w:sz w:val="24"/>
      <w:szCs w:val="24"/>
    </w:rPr>
    <w:pPr>
      <w:spacing w:after="115" w:before="100" w:beforeAutospacing="1"/>
      <w:widowControl/>
    </w:pPr>
  </w:style>
  <w:style w:type="paragraph" w:styleId="899">
    <w:name w:val="western"/>
    <w:basedOn w:val="884"/>
    <w:next w:val="899"/>
    <w:link w:val="884"/>
    <w:rPr>
      <w:color w:val="000000"/>
      <w:sz w:val="24"/>
      <w:szCs w:val="24"/>
    </w:rPr>
    <w:pPr>
      <w:spacing w:after="115" w:before="100" w:beforeAutospacing="1"/>
      <w:widowControl/>
    </w:pPr>
  </w:style>
  <w:style w:type="character" w:styleId="900">
    <w:name w:val="Верхний колонтитул Знак"/>
    <w:next w:val="900"/>
    <w:link w:val="889"/>
    <w:rPr>
      <w:lang w:val="ru-RU" w:bidi="ar-SA" w:eastAsia="ru-RU"/>
    </w:rPr>
  </w:style>
  <w:style w:type="paragraph" w:styleId="901">
    <w:name w:val="Нижний колонтитул"/>
    <w:basedOn w:val="884"/>
    <w:next w:val="901"/>
    <w:link w:val="902"/>
    <w:rPr>
      <w:sz w:val="28"/>
    </w:rPr>
    <w:pPr>
      <w:widowControl/>
      <w:tabs>
        <w:tab w:val="center" w:pos="4677" w:leader="none"/>
        <w:tab w:val="right" w:pos="9355" w:leader="none"/>
      </w:tabs>
    </w:pPr>
  </w:style>
  <w:style w:type="character" w:styleId="902">
    <w:name w:val="Нижний колонтитул Знак"/>
    <w:next w:val="902"/>
    <w:link w:val="901"/>
    <w:rPr>
      <w:sz w:val="28"/>
      <w:lang w:val="ru-RU" w:bidi="ar-SA" w:eastAsia="ru-RU"/>
    </w:rPr>
  </w:style>
  <w:style w:type="paragraph" w:styleId="903">
    <w:name w:val="Основной текст"/>
    <w:basedOn w:val="884"/>
    <w:next w:val="903"/>
    <w:link w:val="884"/>
    <w:pPr>
      <w:spacing w:after="120"/>
    </w:pPr>
  </w:style>
  <w:style w:type="paragraph" w:styleId="904">
    <w:name w:val="Основной текст с отступом"/>
    <w:basedOn w:val="884"/>
    <w:next w:val="904"/>
    <w:link w:val="884"/>
    <w:pPr>
      <w:ind w:left="283"/>
      <w:spacing w:after="120"/>
    </w:pPr>
  </w:style>
  <w:style w:type="paragraph" w:styleId="905">
    <w:name w:val="Основной текст с отступом 3"/>
    <w:basedOn w:val="884"/>
    <w:next w:val="905"/>
    <w:link w:val="884"/>
    <w:rPr>
      <w:sz w:val="16"/>
      <w:szCs w:val="16"/>
    </w:rPr>
    <w:pPr>
      <w:ind w:left="283"/>
      <w:spacing w:after="120"/>
    </w:pPr>
  </w:style>
  <w:style w:type="paragraph" w:styleId="906">
    <w:name w:val="ConsNonformat"/>
    <w:next w:val="906"/>
    <w:link w:val="884"/>
    <w:rPr>
      <w:rFonts w:ascii="Courier New" w:hAnsi="Courier New"/>
      <w:lang w:val="ru-RU" w:bidi="ar-SA" w:eastAsia="ru-RU"/>
    </w:rPr>
    <w:pPr>
      <w:ind w:right="19772"/>
      <w:widowControl w:val="off"/>
    </w:pPr>
  </w:style>
  <w:style w:type="paragraph" w:styleId="907">
    <w:name w:val="ConsNormal"/>
    <w:next w:val="907"/>
    <w:link w:val="884"/>
    <w:rPr>
      <w:rFonts w:ascii="Arial" w:hAnsi="Arial"/>
      <w:lang w:val="ru-RU" w:bidi="ar-SA" w:eastAsia="ru-RU"/>
    </w:rPr>
    <w:pPr>
      <w:ind w:right="19772" w:firstLine="720"/>
      <w:widowControl w:val="off"/>
    </w:pPr>
  </w:style>
  <w:style w:type="paragraph" w:styleId="908">
    <w:name w:val="Таблицы (моноширинный)"/>
    <w:basedOn w:val="884"/>
    <w:next w:val="884"/>
    <w:link w:val="884"/>
    <w:rPr>
      <w:rFonts w:ascii="Courier New" w:hAnsi="Courier New"/>
    </w:rPr>
    <w:pPr>
      <w:jc w:val="both"/>
    </w:pPr>
  </w:style>
  <w:style w:type="character" w:styleId="909">
    <w:name w:val="Основной текст2"/>
    <w:next w:val="909"/>
    <w:link w:val="884"/>
    <w:rPr>
      <w:rFonts w:ascii="Times New Roman" w:hAnsi="Times New Roman" w:eastAsia="Times New Roman"/>
      <w:color w:val="000000"/>
      <w:spacing w:val="0"/>
      <w:position w:val="0"/>
      <w:sz w:val="27"/>
      <w:szCs w:val="27"/>
      <w:shd w:val="clear" w:fill="FFFFFF" w:color="auto"/>
      <w:lang w:val="ru-RU"/>
    </w:rPr>
  </w:style>
  <w:style w:type="paragraph" w:styleId="910">
    <w:name w:val="ConsPlusTitle"/>
    <w:next w:val="910"/>
    <w:link w:val="884"/>
    <w:rPr>
      <w:rFonts w:ascii="Calibri" w:hAnsi="Calibri"/>
      <w:b/>
      <w:bCs/>
      <w:sz w:val="22"/>
      <w:szCs w:val="22"/>
      <w:lang w:val="ru-RU" w:bidi="ar-SA" w:eastAsia="ru-RU"/>
    </w:rPr>
    <w:pPr>
      <w:widowControl w:val="off"/>
    </w:pPr>
  </w:style>
  <w:style w:type="paragraph" w:styleId="911">
    <w:name w:val="No Spacing"/>
    <w:next w:val="911"/>
    <w:link w:val="884"/>
    <w:rPr>
      <w:rFonts w:ascii="Calibri" w:hAnsi="Calibri"/>
      <w:sz w:val="22"/>
      <w:szCs w:val="22"/>
      <w:lang w:val="ru-RU" w:bidi="ar-SA" w:eastAsia="ru-RU"/>
    </w:rPr>
  </w:style>
  <w:style w:type="character" w:styleId="912">
    <w:name w:val="Font Style30"/>
    <w:next w:val="912"/>
    <w:link w:val="884"/>
    <w:rPr>
      <w:rFonts w:ascii="Times New Roman" w:hAnsi="Times New Roman"/>
      <w:sz w:val="22"/>
      <w:szCs w:val="22"/>
    </w:rPr>
  </w:style>
  <w:style w:type="character" w:styleId="913" w:default="1">
    <w:name w:val="Default Paragraph Font"/>
    <w:uiPriority w:val="1"/>
    <w:semiHidden/>
    <w:unhideWhenUsed/>
  </w:style>
  <w:style w:type="numbering" w:styleId="914" w:default="1">
    <w:name w:val="No List"/>
    <w:uiPriority w:val="99"/>
    <w:semiHidden/>
    <w:unhideWhenUsed/>
  </w:style>
  <w:style w:type="paragraph" w:styleId="915" w:default="1">
    <w:name w:val="Normal"/>
    <w:qFormat/>
  </w:style>
  <w:style w:type="table" w:styleId="916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Р7-Офис/6.4.2.28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7</cp:revision>
  <dcterms:modified xsi:type="dcterms:W3CDTF">2024-08-29T14:29:46Z</dcterms:modified>
</cp:coreProperties>
</file>