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физической культуры, спорта и молодежной политики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</w:t>
      </w:r>
      <w:r>
        <w:rPr>
          <w:sz w:val="24"/>
          <w:szCs w:val="24"/>
        </w:rPr>
        <w:t xml:space="preserve">ерации.</w:t>
      </w:r>
      <w:r>
        <w:rPr>
          <w:sz w:val="24"/>
        </w:rPr>
      </w:r>
      <w:r/>
    </w:p>
    <w:p>
      <w:pPr>
        <w:pStyle w:val="888"/>
        <w:ind w:firstLine="540"/>
        <w:jc w:val="both"/>
      </w:pPr>
      <w:r>
        <w:rPr>
          <w:sz w:val="24"/>
          <w:szCs w:val="24"/>
        </w:rPr>
        <w:t xml:space="preserve">  Муниципальный служащий </w:t>
      </w: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 xml:space="preserve">физической культуры, спорта и молодежной политики </w:t>
      </w:r>
      <w:r>
        <w:rPr>
          <w:sz w:val="24"/>
          <w:szCs w:val="24"/>
        </w:rPr>
        <w:t xml:space="preserve">администрации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изъявивший желание  участвовать  в  конку</w:t>
      </w:r>
      <w:r>
        <w:rPr>
          <w:sz w:val="24"/>
          <w:szCs w:val="24"/>
        </w:rPr>
        <w:t xml:space="preserve">рсе,  подает  заявление  на  имя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представителя нанимателя.</w:t>
      </w:r>
      <w:r>
        <w:rPr>
          <w:sz w:val="24"/>
        </w:rPr>
      </w:r>
      <w:r/>
    </w:p>
    <w:p>
      <w:pPr>
        <w:pStyle w:val="888"/>
        <w:ind w:firstLine="540"/>
        <w:jc w:val="both"/>
        <w:rPr>
          <w:color w:val="000000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 служащий  иного  органа</w:t>
      </w:r>
      <w:r>
        <w:rPr>
          <w:sz w:val="24"/>
          <w:szCs w:val="24"/>
        </w:rPr>
        <w:t xml:space="preserve"> исполнительной власти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управление </w:t>
      </w:r>
      <w:r>
        <w:rPr>
          <w:sz w:val="24"/>
          <w:szCs w:val="24"/>
        </w:rPr>
        <w:t xml:space="preserve">физической культуры, спорта и молодежной политики </w:t>
      </w:r>
      <w:r>
        <w:rPr>
          <w:sz w:val="24"/>
          <w:szCs w:val="24"/>
        </w:rPr>
        <w:t xml:space="preserve">администрации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, заявле</w:t>
      </w:r>
      <w:r>
        <w:rPr>
          <w:rFonts w:ascii="Times New Roman" w:hAnsi="Times New Roman"/>
          <w:sz w:val="24"/>
          <w:szCs w:val="24"/>
        </w:rPr>
        <w:t xml:space="preserve">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физической культуры, спорта и молодежной политики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694"/>
        <w:gridCol w:w="6378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физической культуры, спорта и молодежной политики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907"/>
              <w:jc w:val="both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Н</w:t>
            </w:r>
            <w:r>
              <w:rPr>
                <w:color w:val="000000"/>
                <w:sz w:val="24"/>
                <w:szCs w:val="24"/>
              </w:rPr>
              <w:t xml:space="preserve">аличие базовых знаний, необходимых для замещения должности муниципальной службы, включая знание: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7"/>
              <w:jc w:val="both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государственного языка Российской Федерации (русского языка);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452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31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основ делопроизводства и документооборота;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450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07"/>
              <w:jc w:val="both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Т</w:t>
            </w:r>
            <w:r>
              <w:rPr>
                <w:color w:val="000000"/>
                <w:sz w:val="24"/>
                <w:szCs w:val="24"/>
              </w:rPr>
              <w:t xml:space="preserve">ребования к общим и управленческим умениям, свидетельствующим о наличии необходимых профессиональных и личностных качеств: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560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618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решения.</w:t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694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физической культуры, спорта и молодежной политики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907"/>
              <w:jc w:val="both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муниципальный служащий должен обладать следующими профессиональными знаниями: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68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1)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знаниями в сфере законодательства Российской Федерации: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3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Гражданский кодекс Российской Федерации;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7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Земельный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кодекс Российской Федерации;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8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Налоговый кодекс Российской Федерации;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Трудовой кодекс Российской Федерации;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8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Бюджетный кодекс Российской Федерации;</w:t>
            </w:r>
            <w:r/>
          </w:p>
          <w:p>
            <w:pPr>
              <w:pStyle w:val="907"/>
              <w:jc w:val="both"/>
              <w:spacing w:after="0"/>
              <w:tabs>
                <w:tab w:val="left" w:pos="3068" w:leader="none"/>
                <w:tab w:val="left" w:pos="5027" w:leader="none"/>
                <w:tab w:val="left" w:pos="6924" w:leader="none"/>
                <w:tab w:val="left" w:pos="7756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>
              <w:rPr>
                <w:color w:val="000000"/>
                <w:sz w:val="24"/>
                <w:szCs w:val="24"/>
              </w:rPr>
              <w:t xml:space="preserve">Кодекс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Федерации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об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административных правонарушениях;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17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от 02.12.1990 г. № 395-1 «О банках и банковской деятельности»;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241" w:leader="none"/>
                <w:tab w:val="left" w:pos="6893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от 27 июля 2010 г.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210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ФЗ «Об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организации предоставления государственных и муниципальных услуг»;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222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от 02.05.2006 № 59-ФЗ «О порядке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рассмотрения обращений граждан Российской Федерации»;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202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от 22 октября 2004 г. № 125 «Об архивном деле в Российской Федерации»;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87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Российской Федерации от 2 марта 2007 г. 3в 25-ФЗ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83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 закон Российской Федерации от 5 апреля 2013 г. № 44-ФЗ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387" w:leader="none"/>
                <w:tab w:val="left" w:pos="1388" w:leader="none"/>
                <w:tab w:val="left" w:pos="3349" w:leader="none"/>
                <w:tab w:val="left" w:pos="4308" w:leader="none"/>
                <w:tab w:val="left" w:pos="4860" w:leader="none"/>
                <w:tab w:val="left" w:pos="5426" w:leader="none"/>
                <w:tab w:val="left" w:pos="6668" w:leader="none"/>
                <w:tab w:val="left" w:pos="7537" w:leader="none"/>
                <w:tab w:val="left" w:pos="8004" w:leader="none"/>
                <w:tab w:val="left" w:pos="8559" w:leader="none"/>
                <w:tab w:val="left" w:pos="9742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Федеральный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закон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25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декабря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2008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г.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№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273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ФЗ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«О противодействии коррупции»;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09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Указ Президента Российской Федерации от 7 сентября 2010 г. № 1099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«О</w:t>
              <w:tab/>
              <w:t xml:space="preserve">мерах</w:t>
              <w:tab/>
              <w:t xml:space="preserve">по</w:t>
              <w:tab/>
              <w:t xml:space="preserve">совершенствованию</w:t>
              <w:tab/>
              <w:t xml:space="preserve">государственной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наградной</w:t>
              <w:tab/>
              <w:t xml:space="preserve">системы Российской Федерации»;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194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Указ Президента Российской Федерации от 23 июня 2014 г.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7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2)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иными профессиональными знаниями: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257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основных направлений государственной политики в сфере развития физической культуры, спорта и молодежной политики;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313" w:leader="none"/>
                <w:tab w:val="left" w:pos="1314" w:leader="none"/>
                <w:tab w:val="left" w:pos="2231" w:leader="none"/>
                <w:tab w:val="left" w:pos="3524" w:leader="none"/>
                <w:tab w:val="left" w:pos="4879" w:leader="none"/>
                <w:tab w:val="left" w:pos="5249" w:leader="none"/>
                <w:tab w:val="left" w:pos="6990" w:leader="none"/>
                <w:tab w:val="left" w:pos="8594" w:leader="none"/>
                <w:tab w:val="left" w:pos="993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путей</w:t>
              <w:tab/>
              <w:t xml:space="preserve">развития</w:t>
              <w:tab/>
              <w:t xml:space="preserve">общества 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государства,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   </w:t>
            </w:r>
            <w:r/>
          </w:p>
          <w:p>
            <w:pPr>
              <w:pStyle w:val="920"/>
              <w:ind w:right="0" w:firstLine="0"/>
              <w:spacing w:before="0"/>
              <w:tabs>
                <w:tab w:val="left" w:pos="1313" w:leader="none"/>
                <w:tab w:val="left" w:pos="1314" w:leader="none"/>
                <w:tab w:val="left" w:pos="2231" w:leader="none"/>
                <w:tab w:val="left" w:pos="3524" w:leader="none"/>
                <w:tab w:val="left" w:pos="4879" w:leader="none"/>
                <w:tab w:val="left" w:pos="5249" w:leader="none"/>
                <w:tab w:val="left" w:pos="6990" w:leader="none"/>
                <w:tab w:val="left" w:pos="8594" w:leader="none"/>
                <w:tab w:val="left" w:pos="9935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восприятие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ab/>
              <w:t xml:space="preserve">ситуаций</w:t>
              <w:tab/>
              <w:t xml:space="preserve">и решение задач с позиции государственных приоритетов;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378" w:leader="none"/>
                <w:tab w:val="left" w:pos="1379" w:leader="none"/>
                <w:tab w:val="left" w:pos="2941" w:leader="none"/>
                <w:tab w:val="left" w:pos="5012" w:leader="none"/>
                <w:tab w:val="left" w:pos="6737" w:leader="none"/>
                <w:tab w:val="left" w:pos="8691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структуры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общественных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институтов,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особенностей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построения системы государственного и муниципального управления;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71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финансово-экономических аспектов муниципального управления;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378" w:leader="none"/>
                <w:tab w:val="left" w:pos="1379" w:leader="none"/>
                <w:tab w:val="left" w:pos="2861" w:leader="none"/>
                <w:tab w:val="left" w:pos="3292" w:leader="none"/>
                <w:tab w:val="left" w:pos="5438" w:leader="none"/>
                <w:tab w:val="left" w:pos="7287" w:leader="none"/>
                <w:tab w:val="left" w:pos="8651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основных</w:t>
              <w:tab/>
              <w:t xml:space="preserve">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перспективных</w:t>
              <w:tab/>
              <w:t xml:space="preserve">направлений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развития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;</w:t>
            </w:r>
            <w:r>
              <w:rPr>
                <w:color w:val="000000"/>
                <w:sz w:val="24"/>
                <w:szCs w:val="24"/>
                <w:lang w:eastAsia="ru-RU"/>
              </w:rPr>
              <w:tab/>
              <w:t xml:space="preserve">физической культуры, спора и молодежной политики Новооскольского городского округа;</w:t>
            </w:r>
            <w:r/>
          </w:p>
          <w:p>
            <w:pPr>
              <w:pStyle w:val="920"/>
              <w:ind w:left="0" w:right="0" w:firstLine="0"/>
              <w:spacing w:before="0"/>
              <w:tabs>
                <w:tab w:val="left" w:pos="1193" w:leader="none"/>
              </w:tabs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структуры и специализации физической культуры, cпop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a и молодежной политики Новооскольского городского округа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20"/>
        <w:ind w:left="0" w:right="0" w:firstLine="0"/>
        <w:spacing w:before="0"/>
        <w:tabs>
          <w:tab w:val="left" w:pos="81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 </w:t>
      </w:r>
      <w:r>
        <w:rPr>
          <w:sz w:val="24"/>
          <w:szCs w:val="24"/>
          <w:lang w:eastAsia="ru-RU"/>
        </w:rPr>
        <w:t xml:space="preserve">обеспечивать выполнение возложенных на Управление задач и функций;</w:t>
      </w:r>
      <w:r/>
    </w:p>
    <w:p>
      <w:pPr>
        <w:pStyle w:val="920"/>
        <w:ind w:left="0" w:right="0" w:firstLine="533"/>
        <w:spacing w:before="0"/>
        <w:tabs>
          <w:tab w:val="left" w:pos="1048" w:leader="none"/>
        </w:tabs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распределять обязанности между работниками в пределах их должностных обязанностей;</w:t>
      </w:r>
      <w:r/>
    </w:p>
    <w:p>
      <w:pPr>
        <w:pStyle w:val="920"/>
        <w:numPr>
          <w:ilvl w:val="0"/>
          <w:numId w:val="19"/>
        </w:numPr>
        <w:ind w:left="0" w:right="0" w:firstLine="526"/>
        <w:spacing w:befor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представлять интересы Управления в отношениях с другими структурными подразделениями администрации Новооскольского городского округа, иными органами местного самоуправления Новооскольского городского округа по вопросам компетенции Управления;</w:t>
      </w:r>
      <w:r/>
    </w:p>
    <w:p>
      <w:pPr>
        <w:pStyle w:val="920"/>
        <w:numPr>
          <w:ilvl w:val="0"/>
          <w:numId w:val="19"/>
        </w:numPr>
        <w:ind w:left="0" w:right="0" w:firstLine="529"/>
        <w:spacing w:before="0"/>
        <w:tabs>
          <w:tab w:val="left" w:pos="70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разработка проекта Положения об Управлении, должностных инструкций работников и других документов по вопросам, входящих в компетенцию;</w:t>
      </w:r>
      <w:r/>
    </w:p>
    <w:p>
      <w:pPr>
        <w:pStyle w:val="920"/>
        <w:numPr>
          <w:ilvl w:val="0"/>
          <w:numId w:val="19"/>
        </w:numPr>
        <w:ind w:left="0" w:right="0" w:firstLine="529"/>
        <w:spacing w:befor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осуществлять контроль за качеством и своевременностью выполнения должностных обязанностей работниками Управления;</w:t>
      </w:r>
      <w:r/>
    </w:p>
    <w:p>
      <w:pPr>
        <w:pStyle w:val="920"/>
        <w:numPr>
          <w:ilvl w:val="0"/>
          <w:numId w:val="19"/>
        </w:numPr>
        <w:ind w:left="0" w:right="0" w:firstLine="527"/>
        <w:spacing w:before="0"/>
        <w:tabs>
          <w:tab w:val="left" w:pos="70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обеспечивать соблюдения работниками трудовой дисциплины и правил внутреннего трудового распорядка;</w:t>
      </w:r>
      <w:r/>
    </w:p>
    <w:p>
      <w:pPr>
        <w:pStyle w:val="920"/>
        <w:numPr>
          <w:ilvl w:val="0"/>
          <w:numId w:val="19"/>
        </w:numPr>
        <w:ind w:left="0" w:right="0" w:firstLine="529"/>
        <w:spacing w:before="0"/>
        <w:tabs>
          <w:tab w:val="left" w:pos="70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обеспечивает соблюдение муниципальными служащими Управления общих требований, ограничений и запретов, установленных действующим законодательством;</w:t>
      </w:r>
      <w:r/>
    </w:p>
    <w:p>
      <w:pPr>
        <w:pStyle w:val="920"/>
        <w:ind w:left="0" w:right="0" w:firstLine="531"/>
        <w:spacing w:before="0"/>
        <w:tabs>
          <w:tab w:val="left" w:pos="1104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составлять бюджетную смету, план финансово-хозяйственной деятельности учреждений на содержание Управления и представлению на утверждение главе администрации Новооскольского района в установленном порядке, формированию муниципального задания;</w:t>
      </w:r>
      <w:r/>
    </w:p>
    <w:p>
      <w:pPr>
        <w:pStyle w:val="920"/>
        <w:ind w:left="524" w:right="0" w:firstLine="0"/>
        <w:spacing w:before="0"/>
        <w:tabs>
          <w:tab w:val="left" w:pos="111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координировать антикоррупционную работу в возглавляемом Управлении.</w:t>
      </w:r>
      <w:r/>
    </w:p>
    <w:p>
      <w:pPr>
        <w:pStyle w:val="907"/>
        <w:jc w:val="both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>
        <w:rPr>
          <w:sz w:val="24"/>
          <w:szCs w:val="24"/>
        </w:rPr>
        <w:t xml:space="preserve">осуществляет контроль за организацией и проведением спортивных, физкультурно-оздоровительных мероприятий, спартакиад среди коллективов физической культуры организаций, учреждений различных форм собственности и учащихся, подготовку спортсменов;</w:t>
      </w:r>
      <w:r/>
    </w:p>
    <w:p>
      <w:pPr>
        <w:pStyle w:val="920"/>
        <w:ind w:left="0" w:right="0" w:firstLine="0"/>
        <w:spacing w:before="0"/>
        <w:tabs>
          <w:tab w:val="left" w:pos="1032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- </w:t>
      </w:r>
      <w:r>
        <w:rPr>
          <w:sz w:val="24"/>
          <w:szCs w:val="24"/>
          <w:lang w:eastAsia="ru-RU"/>
        </w:rPr>
        <w:t xml:space="preserve">осуществляет контроль за эффективностью эксплуатации спортивных сооружений Новооскольского городского округа;</w:t>
      </w:r>
      <w:r/>
    </w:p>
    <w:p>
      <w:pPr>
        <w:pStyle w:val="920"/>
        <w:numPr>
          <w:ilvl w:val="1"/>
          <w:numId w:val="19"/>
        </w:numPr>
        <w:ind w:left="0" w:right="0" w:firstLine="700"/>
        <w:spacing w:before="0"/>
        <w:tabs>
          <w:tab w:val="left" w:pos="102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ведет пропаганду и распространение передовых знаний о физической культуре и спорте;</w:t>
      </w:r>
      <w:r/>
    </w:p>
    <w:p>
      <w:pPr>
        <w:pStyle w:val="920"/>
        <w:ind w:left="0" w:right="0" w:firstLine="696"/>
        <w:spacing w:before="0"/>
        <w:tabs>
          <w:tab w:val="left" w:pos="1141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изучае</w:t>
      </w:r>
      <w:r>
        <w:rPr>
          <w:sz w:val="24"/>
          <w:szCs w:val="24"/>
          <w:lang w:eastAsia="ru-RU"/>
        </w:rPr>
        <w:t xml:space="preserve">т состояние развития физической культуры и спорта на территории Новооскольского городского округа, разрабатывает с учетом государственных и общественных органов программы в сфере общих вопросов физической культуры и спорта, и обеспечивает их осуществление;</w:t>
      </w:r>
      <w:r/>
    </w:p>
    <w:p>
      <w:pPr>
        <w:pStyle w:val="920"/>
        <w:numPr>
          <w:ilvl w:val="1"/>
          <w:numId w:val="19"/>
        </w:numPr>
        <w:ind w:left="0" w:right="0" w:firstLine="697"/>
        <w:spacing w:before="0"/>
        <w:tabs>
          <w:tab w:val="left" w:pos="98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внедряет в практику на территории Новооскольского городского округа результаты научных исследований по физической культуре и спорту;</w:t>
      </w:r>
      <w:r>
        <w:rPr>
          <w:sz w:val="24"/>
          <w:szCs w:val="24"/>
          <w:lang w:eastAsia="ru-RU"/>
        </w:rPr>
      </w:r>
      <w:r/>
    </w:p>
    <w:p>
      <w:pPr>
        <w:pStyle w:val="920"/>
        <w:ind w:left="0" w:right="0" w:firstLine="0"/>
        <w:spacing w:before="0"/>
        <w:tabs>
          <w:tab w:val="left" w:pos="108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- </w:t>
      </w:r>
      <w:r>
        <w:rPr>
          <w:sz w:val="24"/>
          <w:szCs w:val="24"/>
          <w:lang w:eastAsia="ru-RU"/>
        </w:rPr>
        <w:t xml:space="preserve">участвует в разработке совместно с заинтересованными органами и общественными организациями программы физического воспитания населения и осуществляет контроль за их выполнением;</w:t>
      </w:r>
      <w:r/>
    </w:p>
    <w:p>
      <w:pPr>
        <w:pStyle w:val="920"/>
        <w:ind w:left="0" w:right="0" w:firstLine="0"/>
        <w:spacing w:before="0"/>
        <w:tabs>
          <w:tab w:val="left" w:pos="106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- </w:t>
      </w:r>
      <w:r>
        <w:rPr>
          <w:sz w:val="24"/>
          <w:szCs w:val="24"/>
          <w:lang w:eastAsia="ru-RU"/>
        </w:rPr>
        <w:t xml:space="preserve">осуществляет контроль за проведением в Новооскольском городском округе физкультурно-оздоровительных и спортивных мероприятий, проводит районные спортивные мероприятия и учебно-тренировочные сборы, в установленном порядке обеспечивает организацию и соде</w:t>
      </w:r>
      <w:r>
        <w:rPr>
          <w:sz w:val="24"/>
          <w:szCs w:val="24"/>
          <w:lang w:eastAsia="ru-RU"/>
        </w:rPr>
        <w:t xml:space="preserve">й</w:t>
      </w:r>
      <w:r>
        <w:rPr>
          <w:sz w:val="24"/>
          <w:szCs w:val="24"/>
          <w:lang w:eastAsia="ru-RU"/>
        </w:rPr>
        <w:t xml:space="preserve">ствие проведению на территории Новооскольского городского округа соревнований областного уро</w:t>
      </w:r>
      <w:r>
        <w:rPr>
          <w:sz w:val="24"/>
          <w:szCs w:val="24"/>
          <w:lang w:eastAsia="ru-RU"/>
        </w:rPr>
        <w:t xml:space="preserve">в</w:t>
      </w:r>
      <w:r>
        <w:rPr>
          <w:sz w:val="24"/>
          <w:szCs w:val="24"/>
          <w:lang w:eastAsia="ru-RU"/>
        </w:rPr>
        <w:t xml:space="preserve">н</w:t>
      </w:r>
      <w:r>
        <w:rPr>
          <w:sz w:val="24"/>
          <w:szCs w:val="24"/>
          <w:lang w:eastAsia="ru-RU"/>
        </w:rPr>
        <w:t xml:space="preserve">я</w:t>
      </w:r>
      <w:r>
        <w:rPr>
          <w:sz w:val="24"/>
          <w:szCs w:val="24"/>
          <w:lang w:eastAsia="ru-RU"/>
        </w:rPr>
        <w:t xml:space="preserve">;</w:t>
      </w:r>
      <w:r/>
    </w:p>
    <w:p>
      <w:pPr>
        <w:pStyle w:val="920"/>
        <w:ind w:left="0" w:right="0" w:firstLine="0"/>
        <w:spacing w:before="0"/>
        <w:tabs>
          <w:tab w:val="left" w:pos="1051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- </w:t>
      </w:r>
      <w:r>
        <w:rPr>
          <w:sz w:val="24"/>
          <w:szCs w:val="24"/>
          <w:lang w:eastAsia="ru-RU"/>
        </w:rPr>
        <w:t xml:space="preserve">осуществляет контроль за участием сборных команд Новооскольского городского округа в областных соревнованиях, спартакиаде среди учащихся, а также ведущих спортсменов Новооскольскольского городского округа на областных и всероссийских соревнованиях;</w:t>
      </w:r>
      <w:r/>
    </w:p>
    <w:p>
      <w:pPr>
        <w:pStyle w:val="920"/>
        <w:ind w:left="0" w:right="0" w:firstLine="0"/>
        <w:spacing w:before="0"/>
        <w:tabs>
          <w:tab w:val="left" w:pos="1022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совместно с управлением образования администрации Новооскольского городского округа контролирует организацию учебно-тренировочного процесса МБУ ДОД «Детско-юношеская спортивная школа Новоо</w:t>
      </w:r>
      <w:r>
        <w:rPr>
          <w:sz w:val="24"/>
          <w:szCs w:val="24"/>
          <w:lang w:eastAsia="ru-RU"/>
        </w:rPr>
        <w:t xml:space="preserve">с</w:t>
      </w:r>
      <w:r>
        <w:rPr>
          <w:sz w:val="24"/>
          <w:szCs w:val="24"/>
          <w:lang w:eastAsia="ru-RU"/>
        </w:rPr>
        <w:t xml:space="preserve">кольского городского округа;</w:t>
      </w:r>
      <w:r/>
    </w:p>
    <w:p>
      <w:pPr>
        <w:pStyle w:val="920"/>
        <w:ind w:left="0" w:right="0" w:firstLine="0"/>
        <w:spacing w:before="0"/>
        <w:tabs>
          <w:tab w:val="left" w:pos="1177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изучает потребности подведомственных спортивных сооружений, спортивных клубов в одежде, обуви, инвентаре и оборудовании спортивного назначения и вносит предложения по этим вопросам в администрацию Новооскольского городского округа;</w:t>
      </w:r>
      <w:r/>
    </w:p>
    <w:p>
      <w:pPr>
        <w:pStyle w:val="920"/>
        <w:ind w:left="0" w:right="0" w:firstLine="0"/>
        <w:spacing w:before="0"/>
        <w:tabs>
          <w:tab w:val="left" w:pos="113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осущ</w:t>
      </w:r>
      <w:r>
        <w:rPr>
          <w:sz w:val="24"/>
          <w:szCs w:val="24"/>
          <w:lang w:eastAsia="ru-RU"/>
        </w:rPr>
        <w:t xml:space="preserve">ествляет контроль за присвоением в установленном порядке спортивные разряды, награждает победителей и примеров спортивных соревнований, физкультурных работников, активистов, физкультурно- спортивньіе и оздоровительные клубы, коллективы физической культуры;</w:t>
      </w:r>
      <w:r/>
    </w:p>
    <w:p>
      <w:pPr>
        <w:pStyle w:val="920"/>
        <w:ind w:left="0" w:right="0" w:firstLine="0"/>
        <w:spacing w:before="0"/>
        <w:tabs>
          <w:tab w:val="left" w:pos="1051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осуществляет контроль за представлением в установленном порядке в управление физической культуры и </w:t>
      </w:r>
      <w:r>
        <w:rPr>
          <w:sz w:val="24"/>
          <w:szCs w:val="24"/>
          <w:lang w:eastAsia="ru-RU"/>
        </w:rPr>
        <w:t xml:space="preserve">спорта Белгородской области департамента внутренней и кадровой политики Белгородской области соответствующую документацию для присвоения почетных и спортивных званий спортсменам и тренерам, работникам физической культуры и спорта, физкультурным активистам;</w:t>
      </w:r>
      <w:r/>
    </w:p>
    <w:p>
      <w:pPr>
        <w:pStyle w:val="920"/>
        <w:ind w:left="0" w:right="0" w:firstLine="0"/>
        <w:spacing w:before="0"/>
        <w:tabs>
          <w:tab w:val="left" w:pos="1036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осуществляет контроль за подготовкой и проведением мероприятий по реализации молодежной политике, находящихся в компетенции отдела по делам молодежи;</w:t>
      </w:r>
      <w:r/>
    </w:p>
    <w:p>
      <w:pPr>
        <w:pStyle w:val="920"/>
        <w:ind w:left="0" w:right="0" w:firstLine="0"/>
        <w:spacing w:before="0"/>
        <w:tabs>
          <w:tab w:val="left" w:pos="1242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осуществляет взаимодействие с молодежными структурами и организациями округа по вопросам реализации молодежной политики в Новооскольском городском округе;</w:t>
      </w:r>
      <w:r/>
    </w:p>
    <w:p>
      <w:pPr>
        <w:pStyle w:val="920"/>
        <w:ind w:left="0" w:right="0" w:firstLine="0"/>
        <w:spacing w:before="0"/>
        <w:tabs>
          <w:tab w:val="left" w:pos="1149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- </w:t>
      </w:r>
      <w:r>
        <w:rPr>
          <w:sz w:val="24"/>
          <w:szCs w:val="24"/>
          <w:lang w:eastAsia="ru-RU"/>
        </w:rPr>
        <w:t xml:space="preserve">организует и проводит развлекательные мероприятия с участием молодежи.</w:t>
      </w:r>
      <w:r/>
    </w:p>
    <w:p>
      <w:pPr>
        <w:pStyle w:val="89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</w:t>
      </w:r>
      <w:r>
        <w:rPr>
          <w:rFonts w:ascii="Times New Roman" w:hAnsi="Times New Roman"/>
          <w:sz w:val="24"/>
          <w:szCs w:val="24"/>
        </w:rPr>
        <w:t xml:space="preserve">24 ноября 2020</w:t>
      </w:r>
      <w:r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 xml:space="preserve">538</w:t>
      </w:r>
      <w:r>
        <w:rPr>
          <w:rFonts w:ascii="Times New Roman" w:hAnsi="Times New Roman"/>
          <w:sz w:val="24"/>
          <w:szCs w:val="24"/>
        </w:rPr>
        <w:t xml:space="preserve">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7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8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8"/>
        <w:ind w:left="1267" w:hanging="303"/>
      </w:pPr>
      <w:rPr>
        <w:rFonts w:ascii="Times New Roman" w:hAnsi="Times New Roman" w:eastAsia="Times New Roman"/>
        <w:b w:val="false"/>
        <w:bCs w:val="false"/>
        <w:i w:val="false"/>
        <w:iCs w:val="false"/>
        <w:sz w:val="27"/>
        <w:szCs w:val="27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888"/>
        <w:ind w:left="2154" w:hanging="303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3048" w:hanging="30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3942" w:hanging="30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4836" w:hanging="30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5730" w:hanging="30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6624" w:hanging="30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7518" w:hanging="30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8412" w:hanging="303"/>
      </w:pPr>
      <w:rPr>
        <w:lang w:val="ru-RU" w:bidi="ar-SA" w:eastAsia="en-U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88"/>
        <w:ind w:left="116" w:hanging="165"/>
      </w:pPr>
      <w:rPr>
        <w:lang w:val="ru-RU" w:bidi="ar-SA" w:eastAsia="en-US"/>
      </w:rPr>
    </w:lvl>
    <w:lvl w:ilvl="1">
      <w:start w:val="0"/>
      <w:numFmt w:val="bullet"/>
      <w:isLgl w:val="false"/>
      <w:suff w:val="tab"/>
      <w:lvlText w:val="-"/>
      <w:lvlJc w:val="left"/>
      <w:pPr>
        <w:pStyle w:val="888"/>
        <w:ind w:left="109" w:hanging="223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1204" w:hanging="22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2289" w:hanging="22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3374" w:hanging="22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4459" w:hanging="22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5544" w:hanging="22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6628" w:hanging="22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7713" w:hanging="223"/>
      </w:pPr>
      <w:rPr>
        <w:lang w:val="ru-RU" w:bidi="ar-SA" w:eastAsia="en-U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888"/>
        <w:ind w:left="119" w:hanging="256"/>
      </w:pPr>
      <w:rPr>
        <w:rFonts w:ascii="Times New Roman" w:hAnsi="Times New Roman" w:eastAsia="Times New Roman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888"/>
        <w:ind w:left="1116" w:hanging="25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2112" w:hanging="25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3108" w:hanging="25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4104" w:hanging="25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5100" w:hanging="25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6096" w:hanging="25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7092" w:hanging="25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8088" w:hanging="256"/>
      </w:pPr>
      <w:rPr>
        <w:lang w:val="ru-RU" w:bidi="ar-SA" w:eastAsia="en-US"/>
      </w:r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"/>
      <w:lvlJc w:val="left"/>
      <w:pPr>
        <w:pStyle w:val="888"/>
        <w:ind w:left="1348" w:hanging="213"/>
      </w:pPr>
      <w:rPr>
        <w:rFonts w:ascii="Times New Roman" w:hAnsi="Times New Roman" w:eastAsia="Times New Roman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888"/>
        <w:ind w:left="2341" w:hanging="213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3337" w:hanging="213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4333" w:hanging="213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5329" w:hanging="21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6325" w:hanging="21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7321" w:hanging="21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8317" w:hanging="21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9313" w:hanging="213"/>
      </w:pPr>
      <w:rPr>
        <w:lang w:val="ru-RU" w:bidi="ar-SA" w:eastAsia="en-U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9720" w:hanging="180"/>
        <w:tabs>
          <w:tab w:val="num" w:pos="9720" w:leader="none"/>
        </w:tabs>
      </w:p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"/>
      <w:lvlJc w:val="left"/>
      <w:pPr>
        <w:pStyle w:val="888"/>
        <w:ind w:left="382" w:hanging="219"/>
      </w:pPr>
      <w:rPr>
        <w:rFonts w:ascii="Times New Roman" w:hAnsi="Times New Roman" w:eastAsia="Times New Roman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pStyle w:val="888"/>
        <w:ind w:left="1364" w:hanging="219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pStyle w:val="888"/>
        <w:ind w:left="2348" w:hanging="219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pStyle w:val="888"/>
        <w:ind w:left="3332" w:hanging="219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pStyle w:val="888"/>
        <w:ind w:left="4316" w:hanging="219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pStyle w:val="888"/>
        <w:ind w:left="5300" w:hanging="219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pStyle w:val="888"/>
        <w:ind w:left="6284" w:hanging="219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pStyle w:val="888"/>
        <w:ind w:left="7268" w:hanging="219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pStyle w:val="888"/>
        <w:ind w:left="8252" w:hanging="219"/>
      </w:pPr>
      <w:rPr>
        <w:lang w:val="ru-RU" w:bidi="ar-SA" w:eastAsia="en-U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9720" w:hanging="180"/>
        <w:tabs>
          <w:tab w:val="num" w:pos="9720" w:leader="none"/>
        </w:tabs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3"/>
  </w:num>
  <w:num w:numId="5">
    <w:abstractNumId w:val="10"/>
  </w:num>
  <w:num w:numId="6">
    <w:abstractNumId w:val="4"/>
  </w:num>
  <w:num w:numId="7">
    <w:abstractNumId w:val="11"/>
  </w:num>
  <w:num w:numId="8">
    <w:abstractNumId w:val="6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7"/>
  </w:num>
  <w:num w:numId="15">
    <w:abstractNumId w:val="1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8"/>
  </w:num>
  <w:num w:numId="21">
    <w:abstractNumId w:val="16"/>
  </w:num>
  <w:num w:numId="22">
    <w:abstractNumId w:val="13"/>
  </w:num>
  <w:num w:numId="2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888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ConsPlusTitle"/>
    <w:next w:val="914"/>
    <w:link w:val="88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888"/>
    <w:rPr>
      <w:sz w:val="22"/>
      <w:szCs w:val="22"/>
      <w:lang w:eastAsia="en-US"/>
    </w:rPr>
    <w:pPr>
      <w:ind w:left="116" w:right="167" w:firstLine="529"/>
      <w:jc w:val="both"/>
      <w:spacing w:before="6"/>
    </w:p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2024-08-29T14:35:37Z</dcterms:modified>
</cp:coreProperties>
</file>