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Федерации».</w:t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30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2025-04-15T06:01:49Z</dcterms:modified>
</cp:coreProperties>
</file>