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</w:t>
      </w:r>
      <w:r>
        <w:rPr>
          <w:sz w:val="24"/>
          <w:szCs w:val="24"/>
        </w:rPr>
        <w:t xml:space="preserve">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тдела трудовых отношений и мониторинга показат</w:t>
      </w:r>
      <w:r>
        <w:rPr>
          <w:sz w:val="24"/>
          <w:szCs w:val="24"/>
        </w:rPr>
        <w:t xml:space="preserve">елей </w:t>
      </w:r>
      <w:r>
        <w:rPr>
          <w:sz w:val="24"/>
          <w:szCs w:val="24"/>
        </w:rPr>
        <w:t xml:space="preserve">эффективности деятельности</w:t>
      </w:r>
      <w:r>
        <w:rPr>
          <w:sz w:val="24"/>
          <w:szCs w:val="24"/>
        </w:rPr>
        <w:t xml:space="preserve"> органов местного самоуправления </w:t>
      </w:r>
      <w:r>
        <w:rPr>
          <w:sz w:val="24"/>
          <w:szCs w:val="24"/>
        </w:rPr>
        <w:t xml:space="preserve">управления экономического развития                         и предпринимательства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Новооско</w:t>
      </w:r>
      <w:r>
        <w:rPr>
          <w:sz w:val="24"/>
          <w:szCs w:val="24"/>
        </w:rPr>
        <w:t xml:space="preserve">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трудовых отношений и мониторинга показат</w:t>
            </w:r>
            <w:r>
              <w:rPr>
                <w:sz w:val="24"/>
                <w:szCs w:val="24"/>
              </w:rPr>
              <w:t xml:space="preserve">елей </w:t>
            </w:r>
            <w:r>
              <w:rPr>
                <w:sz w:val="24"/>
                <w:szCs w:val="24"/>
              </w:rPr>
              <w:t xml:space="preserve">эффективности деятельности</w:t>
            </w:r>
            <w:r>
              <w:rPr>
                <w:sz w:val="24"/>
                <w:szCs w:val="24"/>
              </w:rPr>
              <w:t xml:space="preserve"> органов местного самоуправления </w:t>
            </w:r>
            <w:r>
              <w:rPr>
                <w:sz w:val="24"/>
                <w:szCs w:val="24"/>
              </w:rPr>
              <w:t xml:space="preserve">управления экономического развития                         и предпринимательства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</w:t>
            </w:r>
            <w:r>
              <w:rPr>
                <w:sz w:val="24"/>
                <w:szCs w:val="24"/>
              </w:rPr>
              <w:t xml:space="preserve">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724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724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1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трудовых отношений и мониторинга показат</w:t>
            </w:r>
            <w:r>
              <w:rPr>
                <w:sz w:val="24"/>
                <w:szCs w:val="24"/>
              </w:rPr>
              <w:t xml:space="preserve">елей </w:t>
            </w:r>
            <w:r>
              <w:rPr>
                <w:sz w:val="24"/>
                <w:szCs w:val="24"/>
              </w:rPr>
              <w:t xml:space="preserve">эффективности деятельности</w:t>
            </w:r>
            <w:r>
              <w:rPr>
                <w:sz w:val="24"/>
                <w:szCs w:val="24"/>
              </w:rPr>
              <w:t xml:space="preserve"> органов местного самоуправления </w:t>
            </w:r>
            <w:r>
              <w:rPr>
                <w:sz w:val="24"/>
                <w:szCs w:val="24"/>
              </w:rPr>
              <w:t xml:space="preserve">управления экономического развития                         и предпринимательства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</w:t>
            </w:r>
            <w:r>
              <w:rPr>
                <w:sz w:val="24"/>
                <w:szCs w:val="24"/>
              </w:rPr>
              <w:t xml:space="preserve">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724" w:type="dxa"/>
            <w:vAlign w:val="top"/>
            <w:textDirection w:val="lrTb"/>
            <w:noWrap w:val="false"/>
          </w:tcPr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1) работать на компьютере, в том числе в сети «Интернет»;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2) работать в информационно-правовых системах;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3) эффективно планировать работу и контролировать ее выполнение;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4) оперативно принимать и реализовывать управленческие решения;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color w:val="000000"/>
                <w:highlight w:val="white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6) соблюдать этику делового общения при взаимодействии               с гражданами.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/>
          </w:p>
        </w:tc>
      </w:tr>
      <w:tr>
        <w:trPr>
          <w:trHeight w:val="1095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724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трудовых отношений и мониторинга показат</w:t>
            </w:r>
            <w:r>
              <w:rPr>
                <w:sz w:val="24"/>
                <w:szCs w:val="24"/>
              </w:rPr>
              <w:t xml:space="preserve">елей </w:t>
            </w:r>
            <w:r>
              <w:rPr>
                <w:sz w:val="24"/>
                <w:szCs w:val="24"/>
              </w:rPr>
              <w:t xml:space="preserve">эффективности деятельности</w:t>
            </w:r>
            <w:r>
              <w:rPr>
                <w:sz w:val="24"/>
                <w:szCs w:val="24"/>
              </w:rPr>
              <w:t xml:space="preserve"> органов местного самоуправления </w:t>
            </w:r>
            <w:r>
              <w:rPr>
                <w:sz w:val="24"/>
                <w:szCs w:val="24"/>
              </w:rPr>
              <w:t xml:space="preserve">управления экономического развития                         и предпринимательства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</w:t>
            </w:r>
            <w:r>
              <w:rPr>
                <w:sz w:val="24"/>
                <w:szCs w:val="24"/>
              </w:rPr>
              <w:t xml:space="preserve">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724" w:type="dxa"/>
            <w:vAlign w:val="top"/>
            <w:textDirection w:val="lrTb"/>
            <w:noWrap w:val="false"/>
          </w:tcPr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а) Федеральные законы и иные федеральные нормативные правовые акты: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 Гражданский кодекс Российской Федерации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-Трудовой кодекс Российской Федерации;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-Кодекс Российской Федерации об административных правонарушениях;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-Федеральный закон от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12 декабря 2023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№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565-ФЗ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                  «О занятости населения в Российской Федерации»;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-Федеральный закон  от 27 июля 2006 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№ 152-ФЗ                       «О персональных данных»;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-Федеральный закон от 21 ноября 2011 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№ 323-ФЗ                   «Об основах охраны здоровья граждан в Российской Федерации»;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-Федеральный закон от 19 июня 2000 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№ 82-ФЗ                        «О минимальном размере оплаты труда»;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-Федеральный закон от 12 января 1996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№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10-ФЗ                      «О профсоюзах, их правах и гарантиях деятельности»;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-Федеральный закон от 1 мая 1999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№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92-ФЗ                              «О Российской трехсторонней комиссии по регулированию социально-трудовых отношений»;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-Федеральный закон от 27 ноября 2002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 № 156-ФЗ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                   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«Об объединениях работодателей»;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-Федеральный закон от 28 декабря 2013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 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г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ода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 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№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 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426-ФЗ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                   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«О специальной оценке условий труда»</w:t>
            </w:r>
            <w:r>
              <w:rPr>
                <w:rFonts w:eastAsia="Franklin Gothic Medium"/>
                <w:iCs/>
                <w:color w:val="000000"/>
                <w:sz w:val="24"/>
                <w:szCs w:val="26"/>
                <w:shd w:val="clear" w:fill="FFFFFF" w:color="auto"/>
                <w:lang w:val="ru-RU" w:bidi="ru-RU"/>
              </w:rPr>
              <w:t xml:space="preserve">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val="ru-RU"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постановление Правительства Российской Федерации                        от 5 ноября 1999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№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1229 «О Порядке обеспечения деятельности Российской трехсторонней комиссии по регулированию социально-трудовых отношений»;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</w:p>
          <w:p>
            <w:pPr>
              <w:pStyle w:val="898"/>
              <w:contextualSpacing w:val="true"/>
              <w:ind w:left="0" w:firstLine="0"/>
              <w:jc w:val="both"/>
              <w:rPr>
                <w:rFonts w:eastAsia="Franklin Gothic Medium"/>
                <w:color w:val="000000"/>
                <w:sz w:val="24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распоряжение Правительства Российской Федерации от 4 марта 2009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г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ода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             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№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 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  <w:t xml:space="preserve">265-р «О всероссийском конкурсе «Российская организация высокой социальной эффективности».</w:t>
            </w:r>
            <w:r>
              <w:rPr>
                <w:rFonts w:eastAsia="Franklin Gothic Medium"/>
                <w:color w:val="000000"/>
                <w:sz w:val="24"/>
                <w:szCs w:val="26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hd w:val="clear" w:fill="FFFFFF" w:color="auto"/>
                <w:lang w:bidi="ru-RU"/>
              </w:rPr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</w:tc>
      </w:tr>
    </w:tbl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Обеспечивать реализацию на территории округа полномочия в соответствии с законом Белгородской области от 28 июня 2010 года № 349</w:t>
      </w:r>
      <w:r>
        <w:rPr>
          <w:sz w:val="24"/>
          <w:szCs w:val="26"/>
        </w:rPr>
        <w:t xml:space="preserve"> «О наделении органов местного самоуправления полномочиями в области охраны труда»;</w:t>
      </w:r>
      <w:r>
        <w:rPr>
          <w:sz w:val="24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Проводить анализ производственного травматизма на территории Новооскольского муниципального округа;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Осуществлять общее руководство отделом;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Участвовать в работе по заключению трехсторонних соглашений между координационным Советом отраслевых профсоюзов, объединениями работодателей и администрацией Новооскольского муниципального округа Белгородской области;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Взаимодействовать с профсоюзными организациями и представителями собственников (работодателями) по выработке рекомендаций при заключении коллективных договоров; 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Проводить уведомительную регистрацию коллективных договоров и осуществлять контроль за их выполнением;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Участвовать в реализации мер по разрешению коллективных трудовых споров, включая организацию примирительных процедур и трудовых арбитражей;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Организовать мониторинг у</w:t>
      </w:r>
      <w:r>
        <w:rPr>
          <w:sz w:val="24"/>
          <w:szCs w:val="26"/>
        </w:rPr>
        <w:t xml:space="preserve">ровня заработной платы, наличия задолженности по заработной плате у работодателей Новооскольского муниципального округа. Принимать комплекс мер по ликвидации задолженности по заработной плате и росту заработной платы в организациях всех форм собственности;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Обеспечивать организацию мониторинга показателей  эффективности  деятельности органов местного самоуправления в соответствии с федеральными, региональными и муниципальными нормативными правовыми актами;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Взаимодействовать с Государственной инспекцией труда Белгородской области по вопросам выполнения организациями и учреждениями всех форм собственности действующего законодательства о труде;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Организовать работу по занесению на Доску Почета Новооскольского муниципального округа лучших предприятий, организаций, учреждений и лучших работников производственной и социальной сфер Новооскольского муниципального округа</w:t>
      </w:r>
      <w:r>
        <w:rPr>
          <w:sz w:val="24"/>
          <w:szCs w:val="26"/>
        </w:rPr>
        <w:t xml:space="preserve">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Оказывать методическую помощь работодателям в разработке и реализации мер по созданию безопасных условий труда</w:t>
      </w:r>
      <w:r>
        <w:rPr>
          <w:sz w:val="24"/>
          <w:szCs w:val="26"/>
        </w:rPr>
        <w:t xml:space="preserve">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Совместно с Государственной инспекцией труда Белгородской области, другими службами участв</w:t>
      </w:r>
      <w:r>
        <w:rPr>
          <w:sz w:val="24"/>
          <w:szCs w:val="26"/>
        </w:rPr>
        <w:t xml:space="preserve">овать</w:t>
      </w:r>
      <w:r>
        <w:rPr>
          <w:sz w:val="24"/>
          <w:szCs w:val="26"/>
        </w:rPr>
        <w:t xml:space="preserve"> в расследовании групповых, тяжелых несчастных случаев и случаев с летальным исходом, происшедших на производстве</w:t>
      </w:r>
      <w:r>
        <w:rPr>
          <w:sz w:val="24"/>
          <w:szCs w:val="26"/>
        </w:rPr>
        <w:t xml:space="preserve">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Организ</w:t>
      </w:r>
      <w:r>
        <w:rPr>
          <w:sz w:val="24"/>
          <w:szCs w:val="26"/>
        </w:rPr>
        <w:t xml:space="preserve">овать</w:t>
      </w:r>
      <w:r>
        <w:rPr>
          <w:sz w:val="24"/>
          <w:szCs w:val="26"/>
        </w:rPr>
        <w:t xml:space="preserve"> взаимодействие органов местного самоуправления, территориальных органов федеральных органов власти</w:t>
      </w:r>
      <w:r>
        <w:rPr>
          <w:sz w:val="24"/>
          <w:szCs w:val="26"/>
        </w:rPr>
        <w:t xml:space="preserve">, контрольно-надзорных органов власти</w:t>
      </w:r>
      <w:r>
        <w:rPr>
          <w:sz w:val="24"/>
          <w:szCs w:val="26"/>
        </w:rPr>
        <w:t xml:space="preserve"> по противодействию </w:t>
      </w:r>
      <w:r>
        <w:rPr>
          <w:sz w:val="24"/>
          <w:szCs w:val="26"/>
        </w:rPr>
        <w:t xml:space="preserve">нелегальным трудовым отношениям</w:t>
      </w:r>
      <w:r>
        <w:rPr>
          <w:sz w:val="24"/>
          <w:szCs w:val="26"/>
        </w:rPr>
        <w:t xml:space="preserve">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Организовать мониторинг трудовых отношений и анализ результатов работы по противодействию нелегальным трудовым отношениям;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</w:t>
      </w:r>
      <w:r>
        <w:rPr>
          <w:sz w:val="24"/>
          <w:szCs w:val="26"/>
        </w:rPr>
        <w:t xml:space="preserve">Вести</w:t>
      </w:r>
      <w:r>
        <w:rPr>
          <w:sz w:val="24"/>
          <w:szCs w:val="26"/>
        </w:rPr>
        <w:t xml:space="preserve"> разъяснительную работу с работодателями округа по </w:t>
      </w:r>
      <w:r>
        <w:rPr>
          <w:sz w:val="24"/>
          <w:szCs w:val="26"/>
        </w:rPr>
        <w:t xml:space="preserve">вопросам </w:t>
      </w:r>
      <w:r>
        <w:rPr>
          <w:sz w:val="24"/>
          <w:szCs w:val="26"/>
        </w:rPr>
        <w:t xml:space="preserve">легализации трудовых отношений</w:t>
      </w:r>
      <w:r>
        <w:rPr>
          <w:sz w:val="24"/>
          <w:szCs w:val="26"/>
        </w:rPr>
        <w:t xml:space="preserve"> и оформления трудовых отношений</w:t>
      </w:r>
      <w:r>
        <w:rPr>
          <w:sz w:val="24"/>
          <w:szCs w:val="26"/>
        </w:rPr>
        <w:t xml:space="preserve">;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6"/>
        </w:rPr>
        <w:t xml:space="preserve">- Организ</w:t>
      </w:r>
      <w:r>
        <w:rPr>
          <w:sz w:val="24"/>
          <w:szCs w:val="26"/>
        </w:rPr>
        <w:t xml:space="preserve">овать</w:t>
      </w:r>
      <w:r>
        <w:rPr>
          <w:sz w:val="24"/>
          <w:szCs w:val="26"/>
        </w:rPr>
        <w:t xml:space="preserve"> проведение заседаний </w:t>
      </w:r>
      <w:r>
        <w:rPr>
          <w:sz w:val="24"/>
          <w:szCs w:val="26"/>
        </w:rPr>
        <w:t xml:space="preserve">рабочей группы</w:t>
      </w:r>
      <w:r>
        <w:rPr>
          <w:sz w:val="24"/>
          <w:szCs w:val="26"/>
        </w:rPr>
        <w:t xml:space="preserve"> по противодействию нелегальным трудовым отношениям, оформля</w:t>
      </w:r>
      <w:r>
        <w:rPr>
          <w:sz w:val="24"/>
          <w:szCs w:val="26"/>
        </w:rPr>
        <w:t xml:space="preserve">ть</w:t>
      </w:r>
      <w:r>
        <w:rPr>
          <w:sz w:val="24"/>
          <w:szCs w:val="26"/>
        </w:rPr>
        <w:t xml:space="preserve"> их результаты.</w:t>
      </w:r>
      <w:r>
        <w:rPr>
          <w:sz w:val="24"/>
          <w:szCs w:val="26"/>
        </w:rPr>
      </w:r>
      <w:r>
        <w:rPr>
          <w:sz w:val="24"/>
        </w:rPr>
      </w:r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98"/>
        <w:ind w:left="0" w:right="0"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30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98"/>
        <w:ind w:left="1070" w:hanging="360"/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2025-04-15T05:56:31Z</dcterms:modified>
</cp:coreProperties>
</file>