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повторного 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0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</w:t>
      </w:r>
      <w:r>
        <w:t xml:space="preserve"> </w:t>
      </w:r>
      <w:r>
        <w:rPr>
          <w:color w:val="000000"/>
          <w:sz w:val="24"/>
          <w:szCs w:val="24"/>
        </w:rPr>
        <w:t xml:space="preserve">объявляет о проведении</w:t>
      </w:r>
      <w:r>
        <w:rPr>
          <w:color w:val="000000"/>
          <w:sz w:val="24"/>
          <w:szCs w:val="24"/>
        </w:rPr>
        <w:t xml:space="preserve"> повторного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конкурс</w:t>
      </w:r>
      <w:r>
        <w:rPr>
          <w:color w:val="000000"/>
          <w:sz w:val="24"/>
          <w:szCs w:val="24"/>
        </w:rPr>
        <w:t xml:space="preserve">а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на замещение вакант</w:t>
      </w:r>
      <w:r>
        <w:rPr>
          <w:color w:val="000000"/>
          <w:sz w:val="24"/>
          <w:szCs w:val="24"/>
        </w:rPr>
        <w:t xml:space="preserve">н</w:t>
      </w:r>
      <w:r>
        <w:rPr>
          <w:color w:val="000000"/>
          <w:sz w:val="24"/>
          <w:szCs w:val="24"/>
        </w:rPr>
        <w:t xml:space="preserve">ой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должност</w:t>
      </w:r>
      <w:r>
        <w:rPr>
          <w:color w:val="000000"/>
          <w:sz w:val="24"/>
          <w:szCs w:val="24"/>
        </w:rPr>
        <w:t xml:space="preserve">и</w:t>
      </w:r>
      <w:r>
        <w:rPr>
          <w:color w:val="000000"/>
          <w:sz w:val="24"/>
          <w:szCs w:val="24"/>
        </w:rPr>
        <w:t xml:space="preserve"> муниципальной службы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–</w:t>
      </w:r>
      <w:r>
        <w:rPr>
          <w:color w:val="000000"/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80"/>
        <w:ind w:firstLine="720"/>
        <w:jc w:val="both"/>
      </w:pPr>
      <w:r>
        <w:rPr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880"/>
        <w:ind w:left="0" w:right="0" w:firstLine="709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собственноручно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по специальности</w:t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80"/>
              <w:jc w:val="both"/>
              <w:rPr>
                <w:color w:val="000000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/>
          </w:p>
        </w:tc>
      </w:tr>
    </w:tbl>
    <w:p>
      <w:pPr>
        <w:pStyle w:val="880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>
        <w:rPr>
          <w:b/>
          <w:sz w:val="24"/>
          <w:szCs w:val="24"/>
        </w:rPr>
      </w:r>
      <w:r/>
    </w:p>
    <w:p>
      <w:pPr>
        <w:pStyle w:val="880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0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0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природопользования и экологии управления сельского хозяйства и природопользования 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государственного языка Российской Федерации (русского языка);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</w:t>
            </w:r>
            <w:r>
              <w:rPr>
                <w:sz w:val="24"/>
                <w:szCs w:val="24"/>
              </w:rPr>
              <w:t xml:space="preserve">основ Конституции Российской Федерации, Устава Белгородской области, Устава Новооскольского городского округа, законодательства о муниципальной службе, законодательства о противодействии коррупции;        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основные положения антимонопольного законодательства;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>
              <w:rPr>
                <w:sz w:val="24"/>
                <w:szCs w:val="24"/>
              </w:rPr>
              <w:t xml:space="preserve">основ делопроизводства и документооборота;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информационно-коммуникационных технологий: знание основ информационной безопасности и защиты информации; знание осно</w:t>
            </w:r>
            <w:r>
              <w:rPr>
                <w:sz w:val="24"/>
                <w:szCs w:val="24"/>
              </w:rPr>
              <w:t xml:space="preserve">вных положений законодательства о персональных данных; знание общих принципов функционирования системы электронного документооборота; знание основных положений законодательства об электронной подписи; знания и умения по применению персонального компьютера;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 области проектного управления</w:t>
            </w:r>
            <w:r>
              <w:rPr>
                <w:sz w:val="24"/>
                <w:szCs w:val="24"/>
              </w:rPr>
              <w:t xml:space="preserve">.</w:t>
            </w:r>
            <w:r>
              <w:rPr>
                <w:sz w:val="24"/>
                <w:szCs w:val="24"/>
              </w:rPr>
            </w:r>
            <w:r/>
          </w:p>
          <w:p>
            <w:pPr>
              <w:pStyle w:val="880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0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0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Главный специалист отдела  биологизации земледелия, природопользова</w:t>
            </w: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ния и экологии управления сельского хозяйства и природопользова</w:t>
            </w:r>
            <w:r>
              <w:rPr>
                <w:sz w:val="24"/>
                <w:szCs w:val="24"/>
              </w:rPr>
              <w:t xml:space="preserve">-ния </w:t>
            </w:r>
            <w:r>
              <w:rPr>
                <w:sz w:val="24"/>
                <w:szCs w:val="24"/>
              </w:rPr>
              <w:t xml:space="preserve">администрации Новооскольского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</w:t>
            </w:r>
            <w:r>
              <w:rPr>
                <w:sz w:val="24"/>
                <w:szCs w:val="24"/>
              </w:rPr>
              <w:t xml:space="preserve">наниями в сфере законодательства Российской Федерации: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Гражданский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Земельный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Водный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Лесной кодекс Российской Федерации;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Налоговый кодекс Российской Федерации (часть вторая);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Кодекс Российской Федерации об административных правонарушениях;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июля 1997 г. № 117-ФЗ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безопасности гидротехнических сооружений»;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29 декабря 2006 г. № 264-ФЗ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27 июля 2010 г. № 210-ФЗ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организации предоставления государственных и муниципальных услуг»;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</w:t>
            </w:r>
            <w:r>
              <w:rPr>
                <w:sz w:val="24"/>
                <w:szCs w:val="24"/>
              </w:rPr>
              <w:t xml:space="preserve">кон от 25 июля 2011 г. № 260-ФЗ                     </w:t>
            </w:r>
            <w:r>
              <w:rPr>
                <w:sz w:val="24"/>
                <w:szCs w:val="24"/>
              </w:rPr>
              <w:t xml:space="preserve">«О государственной поддержке в сфере сельскохозяйственного страхования и о внесении изменений в Федеральный закон </w:t>
            </w:r>
            <w:r>
              <w:rPr>
                <w:sz w:val="24"/>
                <w:szCs w:val="24"/>
              </w:rPr>
              <w:t xml:space="preserve">              </w:t>
            </w:r>
            <w:r>
              <w:rPr>
                <w:sz w:val="24"/>
                <w:szCs w:val="24"/>
              </w:rPr>
              <w:t xml:space="preserve">«О развитии сельского хозяйства»;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 июля 2013 г. № 148-ФЗ </w:t>
            </w:r>
            <w:r>
              <w:rPr>
                <w:sz w:val="24"/>
                <w:szCs w:val="24"/>
              </w:rPr>
              <w:t xml:space="preserve">                    </w:t>
            </w:r>
            <w:r>
              <w:rPr>
                <w:sz w:val="24"/>
                <w:szCs w:val="24"/>
              </w:rPr>
              <w:t xml:space="preserve">«Об аквакультуре (рыбоводстве)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20 декабря 2004 г. № 166-ФЗ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 рыболовстве и сохранении водных биологических ресурсов»;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02.05.2006 N 59-ФЗ «О порядке рассмотрения обращений граждан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апреля 1995 г. № 52-ФЗ «О животном мире»;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2009 г. № 209-ФЗ «Об охоте и о сохранении охотничьих ресурсов и о внесении изменений в отдельные законодательные акты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2007 г. № 209-ФЗ «О развитии малого и среднего предпринимательства в Российской Федерации»;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07.07.2003 г. № 112-ФЗ «О личном подсобном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11.06.2003 г. № 74-ФЗ «О крестьянском (фермерском) хозяйстве»;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08.12.1995 г. № 193-ФЗ </w:t>
            </w:r>
            <w:r>
              <w:rPr>
                <w:sz w:val="24"/>
                <w:szCs w:val="24"/>
              </w:rPr>
              <w:t xml:space="preserve">                                 </w:t>
            </w:r>
            <w:r>
              <w:rPr>
                <w:sz w:val="24"/>
                <w:szCs w:val="24"/>
              </w:rPr>
              <w:t xml:space="preserve">«О сельскохозяйственной кооперации»;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14 марта 1995 г. № 33-ФЗ «Об особо охраняемых природных территориях»;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23 ноября 1995 г. № 174-ФЗ </w:t>
            </w:r>
            <w:r>
              <w:rPr>
                <w:sz w:val="24"/>
                <w:szCs w:val="24"/>
              </w:rPr>
              <w:t xml:space="preserve">               </w:t>
            </w:r>
            <w:r>
              <w:rPr>
                <w:sz w:val="24"/>
                <w:szCs w:val="24"/>
              </w:rPr>
              <w:t xml:space="preserve">«Об экологической экспертизе»;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июня 1998 г. № 89-ФЗ «Об отходах производства и потребления»;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04 мая 1999 г. № 96-ФЗ «Об охране атмосферного воздуха»;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2002 г. № 7-ФЗ «Об охране окружающей среды»;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16 июля 1998 г. № 101-ФЗ </w:t>
            </w:r>
            <w:r>
              <w:rPr>
                <w:sz w:val="24"/>
                <w:szCs w:val="24"/>
              </w:rPr>
              <w:t xml:space="preserve">                           </w:t>
            </w:r>
            <w:r>
              <w:rPr>
                <w:sz w:val="24"/>
                <w:szCs w:val="24"/>
              </w:rPr>
              <w:t xml:space="preserve">«О государственном регулировании обеспечения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24 июля 2002 г. № 101-ФЗ «Об обороте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17 декабря 1997 г. № 149-ФЗ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семеноводстве»;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10 января 1996 г. № 4-ФЗ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мелиорации земель»;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19 июля 1997 г. № 109-ФЗ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безопасном обращении с пестицидами и агрохимикатами»;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Российской Федерации от 26 декабря 2008 года № 69-ФЗ «О пожарной безопасности»;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21 декабря 1994 года № 68-ФЗ </w:t>
            </w:r>
            <w:r>
              <w:rPr>
                <w:sz w:val="24"/>
                <w:szCs w:val="24"/>
              </w:rPr>
              <w:t xml:space="preserve">                      </w:t>
            </w:r>
            <w:r>
              <w:rPr>
                <w:sz w:val="24"/>
                <w:szCs w:val="24"/>
              </w:rPr>
              <w:t xml:space="preserve">«О защите населения и территорий от чрезвычайных ситуаций природного и техногенного характера»;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Федеральный закон от 30 марта 1999 года № 52-ФЗ </w:t>
            </w:r>
            <w:r>
              <w:rPr>
                <w:sz w:val="24"/>
                <w:szCs w:val="24"/>
              </w:rPr>
              <w:t xml:space="preserve">                       </w:t>
            </w:r>
            <w:r>
              <w:rPr>
                <w:sz w:val="24"/>
                <w:szCs w:val="24"/>
              </w:rPr>
              <w:t xml:space="preserve">«О санитарно-эпидемиологическом благополучии населения»;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Российской Федерации от 21 февраля 1992 г. № 2395-1 «О недрах»;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Указ Президента Российской Федерации от 30 января 2010 г. № 120 «Об утверждении Доктрины продовольственной безопасности Российской Федерации»;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30 декабря 2006 года № 844 «О порядке подготовки и принятия решения о предоставлении водного объекта в пользование»;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22 июля 2011 г. № 612 «Об утверждении критериев существенного снижения плодородия земель сельскохозяйственного назначения»;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</w:t>
            </w:r>
            <w:r>
              <w:rPr>
                <w:sz w:val="24"/>
                <w:szCs w:val="24"/>
              </w:rPr>
              <w:t xml:space="preserve">ва Российской Федерации от</w:t>
            </w:r>
            <w:r>
              <w:rPr>
                <w:sz w:val="24"/>
                <w:szCs w:val="24"/>
              </w:rPr>
              <w:t xml:space="preserve"> 23 апреля 2012 г. № 369 «О признаках неиспользования земельных участков с учетом особенностей ведения сельскохозяйственного производства или осуществления иной связанной с сельскохозяйственным производством деятельности в субъектах Российской Федерации»;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июля 2012 г. № 717 «О Государственной программе развития сельского хозяйства и регулирования рынков сельскохозяйственной продукции, сырья и продовольствия на 2013 - 2020 годы»; </w:t>
            </w:r>
            <w:r/>
          </w:p>
          <w:p>
            <w:pPr>
              <w:pStyle w:val="88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постановление Правительства Российской Федерации от 14 декабря 2009 г. № 1007 «Об утверждении Положения об определении функциональных зон в лесопарковых зонах, площади и границ лесопарковых зон, зеленых зон»;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01.</w:t>
            </w:r>
            <w:r>
              <w:rPr>
                <w:sz w:val="24"/>
                <w:szCs w:val="24"/>
              </w:rPr>
              <w:t xml:space="preserve">10.2014 года № 294 «Об установлении максимального размера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на территории Белгородской области»;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</w:t>
            </w:r>
            <w:r>
              <w:rPr>
                <w:sz w:val="24"/>
                <w:szCs w:val="24"/>
              </w:rPr>
              <w:t xml:space="preserve">ласти от 29.12.2016 года № 137 «Об установлении предельных (максимальных и минимальных) размеров земельных участков, находящихся в государственной или муниципальной собственности и предоставляемых для осуществления фермерским хозяйством его деятельности»; </w:t>
            </w:r>
            <w:r/>
          </w:p>
          <w:p>
            <w:pPr>
              <w:pStyle w:val="880"/>
              <w:jc w:val="both"/>
              <w:widowControl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– Закон Белгородской области от 25.12. 2017 года № 233 «О реализации в Белгородской области отдельных положений Земельного кодекса Российской Федерации».</w:t>
            </w:r>
            <w:r/>
          </w:p>
        </w:tc>
      </w:tr>
    </w:tbl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</w:r>
      <w:r/>
    </w:p>
    <w:p>
      <w:pPr>
        <w:pStyle w:val="880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В должностные обязанности </w:t>
      </w:r>
      <w:r>
        <w:rPr>
          <w:sz w:val="24"/>
          <w:szCs w:val="24"/>
        </w:rPr>
        <w:t xml:space="preserve">по вакантной должности входят: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контроль за сохранностью земельных ресурсов и целевому использованию земель сельскохозяйственного назначения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проведению противоэрозийных мероприятий, внедрению адаптивно-ландшафтной системы земледелия, ресурсосберегающих технологий, направленных на рост экономической эффективности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помощь хозяйствам в исполнении технологического регламента выращивания сельскохозяйственных культур, эффективном использовании высокопродуктивных сортов и гибридов;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проводит единую государственную политику в сфере семеноводства;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оказывает консультацион</w:t>
      </w:r>
      <w:r>
        <w:rPr>
          <w:sz w:val="24"/>
          <w:szCs w:val="24"/>
        </w:rPr>
        <w:t xml:space="preserve">ную помощь физическим и юридическим лицам в вопросах соблюдения законодательства Российской Федерации в области семеноводства при производстве, заготовке, обработке, хранении, реализации, транспортировки и использовании семян сельскохозяйственных растений;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пропагандирует и способствует внедрению достижений науки и передового опыта в сельскохозяйственное производство с целью повышения экономического уровня сельскохозяйственного производства;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реализацию федеральных и региональных программ в сфере охраны окружающей среды и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мероприятия по охране окружающей среды в границах городского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организовывает использование, охрану, защиту, воспроизводство городских лесов, лесов особо охраняемых природных территорий, расположенных в границах 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мониторинг приживаемости лесных культур по облесению эрозионно-опасных участков;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особо-охраняемых природных территорий, лесных насаждений, расположенных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принимает участия в разработке и координации реализации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проектов бассейнового природопользования;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водных объектов (прудов, обводненных карьеров), находящихся 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ведет учет бесхозных гидротехнических сооружений, находящихся на территории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осуществляет меры по противодействию коррупции в отделе биологизации земледелия, природопользования и экологии;</w:t>
      </w:r>
      <w:r/>
    </w:p>
    <w:p>
      <w:pPr>
        <w:pStyle w:val="88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выполняет иные полномочия в соответствии с федеральным законом от 06 октября 2003 года № 131-ФЗ «Об общих принципах организации местного самоуправления в Российской Федерации», Уставом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0"/>
        <w:jc w:val="both"/>
        <w:tabs>
          <w:tab w:val="left" w:pos="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   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>
        <w:rPr>
          <w:sz w:val="24"/>
          <w:szCs w:val="24"/>
        </w:rPr>
      </w:r>
      <w:r/>
    </w:p>
    <w:p>
      <w:pPr>
        <w:pStyle w:val="889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1. Результативность профессиональной служебн</w:t>
      </w:r>
      <w:r>
        <w:rPr>
          <w:sz w:val="24"/>
          <w:szCs w:val="24"/>
        </w:rPr>
        <w:t xml:space="preserve">ой д</w:t>
      </w:r>
      <w:r>
        <w:rPr>
          <w:sz w:val="24"/>
          <w:szCs w:val="24"/>
        </w:rPr>
        <w:t xml:space="preserve">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муниципального округа.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>
        <w:rPr>
          <w:sz w:val="24"/>
          <w:szCs w:val="24"/>
        </w:rPr>
        <w:t xml:space="preserve">2. Показатели результативности профессиональной служебной деятельности муниципального служащего: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2.1. Объем выполненных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2.2. Качество выполненных работ.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2.3. Своевременность выполнения работ (в том числе в рамках проектной деятельности).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2.4. Количество нарушений административного или должностного регламентов (в том числе нарушений трудовой дисциплины).</w:t>
      </w:r>
      <w:r/>
    </w:p>
    <w:p>
      <w:pPr>
        <w:pStyle w:val="880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>
        <w:rPr>
          <w:sz w:val="24"/>
          <w:szCs w:val="24"/>
        </w:rPr>
        <w:t xml:space="preserve">2.5.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/>
    </w:p>
    <w:p>
      <w:pPr>
        <w:pStyle w:val="88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</w:t>
      </w:r>
      <w:r>
        <w:rPr>
          <w:b/>
          <w:color w:val="000000"/>
          <w:sz w:val="24"/>
          <w:szCs w:val="24"/>
        </w:rPr>
        <w:t xml:space="preserve">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0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0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9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separate"/>
    </w:r>
    <w:r>
      <w:rPr>
        <w:rStyle w:val="886"/>
      </w:rPr>
      <w:t xml:space="preserve">8</w: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5"/>
      <w:rPr>
        <w:rStyle w:val="886"/>
      </w:rPr>
      <w:framePr w:wrap="around" w:vAnchor="text" w:hAnchor="margin" w:xAlign="center" w:y="1"/>
    </w:pPr>
    <w:r>
      <w:rPr>
        <w:rStyle w:val="886"/>
      </w:rPr>
      <w:fldChar w:fldCharType="begin"/>
    </w:r>
    <w:r>
      <w:rPr>
        <w:rStyle w:val="886"/>
      </w:rPr>
      <w:instrText xml:space="preserve">PAGE  </w:instrText>
    </w:r>
    <w:r>
      <w:rPr>
        <w:rStyle w:val="886"/>
      </w:rPr>
      <w:fldChar w:fldCharType="end"/>
    </w:r>
    <w:r>
      <w:rPr>
        <w:rStyle w:val="886"/>
      </w:rPr>
    </w:r>
    <w:r/>
  </w:p>
  <w:p>
    <w:pPr>
      <w:pStyle w:val="885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0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0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0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0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0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0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0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0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0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0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0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0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0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0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0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0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0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0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0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0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tab"/>
      <w:lvlText w:val=""/>
      <w:lvlJc w:val="left"/>
      <w:pPr>
        <w:pStyle w:val="880"/>
        <w:ind w:left="720" w:hanging="360"/>
      </w:pPr>
      <w:rPr>
        <w:rFonts w:ascii="Symbol" w:hAnsi="Symbol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6480" w:hanging="180"/>
      </w:p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0"/>
        <w:tabs>
          <w:tab w:val="num" w:pos="360" w:leader="none"/>
        </w:tabs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0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0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0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0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0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0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0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0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0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1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0"/>
        </w:pPr>
        <w:rPr>
          <w:rFonts w:ascii="Times New Roman" w:hAnsi="Times New Roman"/>
        </w:rPr>
      </w:lvl>
    </w:lvlOverride>
  </w:num>
  <w:num w:numId="19">
    <w:abstractNumId w:val="10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Title"/>
    <w:link w:val="723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3">
    <w:name w:val="Title Char"/>
    <w:link w:val="722"/>
    <w:uiPriority w:val="10"/>
    <w:rPr>
      <w:sz w:val="48"/>
      <w:szCs w:val="48"/>
    </w:rPr>
  </w:style>
  <w:style w:type="paragraph" w:styleId="724">
    <w:name w:val="Subtitle"/>
    <w:link w:val="725"/>
    <w:qFormat/>
    <w:uiPriority w:val="11"/>
    <w:rPr>
      <w:sz w:val="24"/>
      <w:szCs w:val="24"/>
    </w:rPr>
    <w:pPr>
      <w:spacing w:after="200" w:before="200"/>
    </w:pPr>
  </w:style>
  <w:style w:type="character" w:styleId="725">
    <w:name w:val="Subtitle Char"/>
    <w:link w:val="724"/>
    <w:uiPriority w:val="11"/>
    <w:rPr>
      <w:sz w:val="24"/>
      <w:szCs w:val="24"/>
    </w:rPr>
  </w:style>
  <w:style w:type="paragraph" w:styleId="726">
    <w:name w:val="Quote"/>
    <w:link w:val="727"/>
    <w:qFormat/>
    <w:uiPriority w:val="29"/>
    <w:rPr>
      <w:i/>
    </w:rPr>
    <w:pPr>
      <w:ind w:left="720" w:right="720"/>
    </w:pPr>
  </w:style>
  <w:style w:type="character" w:styleId="727">
    <w:name w:val="Quote Char"/>
    <w:link w:val="726"/>
    <w:uiPriority w:val="29"/>
    <w:rPr>
      <w:i/>
    </w:rPr>
  </w:style>
  <w:style w:type="paragraph" w:styleId="728">
    <w:name w:val="Intense Quote"/>
    <w:link w:val="729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29">
    <w:name w:val="Intense Quote Char"/>
    <w:link w:val="728"/>
    <w:uiPriority w:val="30"/>
    <w:rPr>
      <w:i/>
    </w:rPr>
  </w:style>
  <w:style w:type="paragraph" w:styleId="730">
    <w:name w:val="Header"/>
    <w:link w:val="731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1">
    <w:name w:val="Header Char"/>
    <w:link w:val="730"/>
    <w:uiPriority w:val="99"/>
  </w:style>
  <w:style w:type="paragraph" w:styleId="732">
    <w:name w:val="Footer"/>
    <w:link w:val="735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3">
    <w:name w:val="Footer Char"/>
    <w:link w:val="732"/>
    <w:uiPriority w:val="99"/>
  </w:style>
  <w:style w:type="paragraph" w:styleId="734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5">
    <w:name w:val="Caption Char"/>
    <w:basedOn w:val="734"/>
    <w:link w:val="732"/>
    <w:uiPriority w:val="99"/>
  </w:style>
  <w:style w:type="table" w:styleId="736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7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9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1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3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4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1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5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6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7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8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69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0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1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2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3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5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6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8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79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0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1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2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3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4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6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0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1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2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3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4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5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6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1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8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29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0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1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2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3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4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5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6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7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8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39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0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1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2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3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4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5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6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7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8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9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0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1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2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3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4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5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6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7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8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59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0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1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2">
    <w:name w:val="Hyperlink"/>
    <w:uiPriority w:val="99"/>
    <w:unhideWhenUsed/>
    <w:rPr>
      <w:color w:val="0000FF" w:themeColor="hyperlink"/>
      <w:u w:val="single"/>
    </w:rPr>
  </w:style>
  <w:style w:type="paragraph" w:styleId="863">
    <w:name w:val="footnote text"/>
    <w:link w:val="864"/>
    <w:uiPriority w:val="99"/>
    <w:semiHidden/>
    <w:unhideWhenUsed/>
    <w:rPr>
      <w:sz w:val="18"/>
    </w:rPr>
    <w:pPr>
      <w:spacing w:lineRule="auto" w:line="240" w:after="40"/>
    </w:pPr>
  </w:style>
  <w:style w:type="character" w:styleId="864">
    <w:name w:val="Footnote Text Char"/>
    <w:link w:val="863"/>
    <w:uiPriority w:val="99"/>
    <w:rPr>
      <w:sz w:val="18"/>
    </w:rPr>
  </w:style>
  <w:style w:type="character" w:styleId="865">
    <w:name w:val="footnote reference"/>
    <w:uiPriority w:val="99"/>
    <w:unhideWhenUsed/>
    <w:rPr>
      <w:vertAlign w:val="superscript"/>
    </w:rPr>
  </w:style>
  <w:style w:type="paragraph" w:styleId="866">
    <w:name w:val="endnote text"/>
    <w:link w:val="867"/>
    <w:uiPriority w:val="99"/>
    <w:semiHidden/>
    <w:unhideWhenUsed/>
    <w:rPr>
      <w:sz w:val="20"/>
    </w:rPr>
    <w:pPr>
      <w:spacing w:lineRule="auto" w:line="240" w:after="0"/>
    </w:pPr>
  </w:style>
  <w:style w:type="character" w:styleId="867">
    <w:name w:val="Endnote Text Char"/>
    <w:link w:val="866"/>
    <w:uiPriority w:val="99"/>
    <w:rPr>
      <w:sz w:val="20"/>
    </w:rPr>
  </w:style>
  <w:style w:type="character" w:styleId="868">
    <w:name w:val="endnote reference"/>
    <w:uiPriority w:val="99"/>
    <w:semiHidden/>
    <w:unhideWhenUsed/>
    <w:rPr>
      <w:vertAlign w:val="superscript"/>
    </w:rPr>
  </w:style>
  <w:style w:type="paragraph" w:styleId="869">
    <w:name w:val="toc 1"/>
    <w:uiPriority w:val="39"/>
    <w:unhideWhenUsed/>
    <w:pPr>
      <w:ind w:left="0" w:right="0" w:firstLine="0"/>
      <w:spacing w:after="57"/>
    </w:pPr>
  </w:style>
  <w:style w:type="paragraph" w:styleId="870">
    <w:name w:val="toc 2"/>
    <w:uiPriority w:val="39"/>
    <w:unhideWhenUsed/>
    <w:pPr>
      <w:ind w:left="283" w:right="0" w:firstLine="0"/>
      <w:spacing w:after="57"/>
    </w:pPr>
  </w:style>
  <w:style w:type="paragraph" w:styleId="871">
    <w:name w:val="toc 3"/>
    <w:uiPriority w:val="39"/>
    <w:unhideWhenUsed/>
    <w:pPr>
      <w:ind w:left="567" w:right="0" w:firstLine="0"/>
      <w:spacing w:after="57"/>
    </w:pPr>
  </w:style>
  <w:style w:type="paragraph" w:styleId="872">
    <w:name w:val="toc 4"/>
    <w:uiPriority w:val="39"/>
    <w:unhideWhenUsed/>
    <w:pPr>
      <w:ind w:left="850" w:right="0" w:firstLine="0"/>
      <w:spacing w:after="57"/>
    </w:pPr>
  </w:style>
  <w:style w:type="paragraph" w:styleId="873">
    <w:name w:val="toc 5"/>
    <w:uiPriority w:val="39"/>
    <w:unhideWhenUsed/>
    <w:pPr>
      <w:ind w:left="1134" w:right="0" w:firstLine="0"/>
      <w:spacing w:after="57"/>
    </w:pPr>
  </w:style>
  <w:style w:type="paragraph" w:styleId="874">
    <w:name w:val="toc 6"/>
    <w:uiPriority w:val="39"/>
    <w:unhideWhenUsed/>
    <w:pPr>
      <w:ind w:left="1417" w:right="0" w:firstLine="0"/>
      <w:spacing w:after="57"/>
    </w:pPr>
  </w:style>
  <w:style w:type="paragraph" w:styleId="875">
    <w:name w:val="toc 7"/>
    <w:uiPriority w:val="39"/>
    <w:unhideWhenUsed/>
    <w:pPr>
      <w:ind w:left="1701" w:right="0" w:firstLine="0"/>
      <w:spacing w:after="57"/>
    </w:pPr>
  </w:style>
  <w:style w:type="paragraph" w:styleId="876">
    <w:name w:val="toc 8"/>
    <w:uiPriority w:val="39"/>
    <w:unhideWhenUsed/>
    <w:pPr>
      <w:ind w:left="1984" w:right="0" w:firstLine="0"/>
      <w:spacing w:after="57"/>
    </w:pPr>
  </w:style>
  <w:style w:type="paragraph" w:styleId="877">
    <w:name w:val="toc 9"/>
    <w:uiPriority w:val="39"/>
    <w:unhideWhenUsed/>
    <w:pPr>
      <w:ind w:left="2268" w:right="0" w:firstLine="0"/>
      <w:spacing w:after="57"/>
    </w:pPr>
  </w:style>
  <w:style w:type="paragraph" w:styleId="878">
    <w:name w:val="TOC Heading"/>
    <w:uiPriority w:val="39"/>
    <w:unhideWhenUsed/>
  </w:style>
  <w:style w:type="paragraph" w:styleId="879">
    <w:name w:val="table of figures"/>
    <w:uiPriority w:val="99"/>
    <w:unhideWhenUsed/>
    <w:pPr>
      <w:spacing w:after="0" w:afterAutospacing="0"/>
    </w:pPr>
  </w:style>
  <w:style w:type="paragraph" w:styleId="880">
    <w:name w:val="Обычный"/>
    <w:next w:val="880"/>
    <w:link w:val="880"/>
    <w:rPr>
      <w:lang w:val="ru-RU" w:bidi="ar-SA" w:eastAsia="ru-RU"/>
    </w:rPr>
    <w:pPr>
      <w:widowControl w:val="off"/>
    </w:pPr>
  </w:style>
  <w:style w:type="character" w:styleId="881">
    <w:name w:val="Основной шрифт абзаца"/>
    <w:next w:val="881"/>
    <w:link w:val="880"/>
    <w:semiHidden/>
  </w:style>
  <w:style w:type="table" w:styleId="882">
    <w:name w:val="Обычная таблица"/>
    <w:next w:val="882"/>
    <w:link w:val="880"/>
    <w:semiHidden/>
    <w:tblPr/>
  </w:style>
  <w:style w:type="numbering" w:styleId="883">
    <w:name w:val="Нет списка"/>
    <w:next w:val="883"/>
    <w:link w:val="880"/>
    <w:semiHidden/>
  </w:style>
  <w:style w:type="paragraph" w:styleId="884">
    <w:name w:val="Текст выноски"/>
    <w:basedOn w:val="880"/>
    <w:next w:val="884"/>
    <w:link w:val="880"/>
    <w:semiHidden/>
    <w:rPr>
      <w:rFonts w:ascii="Tahoma" w:hAnsi="Tahoma"/>
      <w:sz w:val="16"/>
      <w:szCs w:val="16"/>
    </w:rPr>
  </w:style>
  <w:style w:type="paragraph" w:styleId="885">
    <w:name w:val="Верхний колонтитул"/>
    <w:basedOn w:val="880"/>
    <w:next w:val="885"/>
    <w:link w:val="896"/>
    <w:pPr>
      <w:tabs>
        <w:tab w:val="center" w:pos="4677" w:leader="none"/>
        <w:tab w:val="right" w:pos="9355" w:leader="none"/>
      </w:tabs>
    </w:pPr>
  </w:style>
  <w:style w:type="character" w:styleId="886">
    <w:name w:val="Номер страницы"/>
    <w:basedOn w:val="881"/>
    <w:next w:val="886"/>
    <w:link w:val="880"/>
  </w:style>
  <w:style w:type="table" w:styleId="887">
    <w:name w:val="Сетка таблицы"/>
    <w:basedOn w:val="882"/>
    <w:next w:val="887"/>
    <w:link w:val="880"/>
    <w:tblPr/>
  </w:style>
  <w:style w:type="paragraph" w:styleId="888">
    <w:name w:val="ConsPlusNormal"/>
    <w:next w:val="888"/>
    <w:link w:val="890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89">
    <w:name w:val="ConsPlusNonformat"/>
    <w:next w:val="889"/>
    <w:link w:val="880"/>
    <w:rPr>
      <w:rFonts w:ascii="Courier New" w:hAnsi="Courier New"/>
      <w:lang w:val="ru-RU" w:bidi="ar-SA" w:eastAsia="ru-RU"/>
    </w:rPr>
    <w:pPr>
      <w:widowControl w:val="off"/>
    </w:pPr>
  </w:style>
  <w:style w:type="character" w:styleId="890">
    <w:name w:val="ConsPlusNormal Знак"/>
    <w:next w:val="890"/>
    <w:link w:val="888"/>
    <w:rPr>
      <w:rFonts w:ascii="Arial" w:hAnsi="Arial"/>
      <w:lang w:val="ru-RU" w:bidi="ar-SA" w:eastAsia="ru-RU"/>
    </w:rPr>
  </w:style>
  <w:style w:type="paragraph" w:styleId="891">
    <w:name w:val="Название"/>
    <w:basedOn w:val="880"/>
    <w:next w:val="891"/>
    <w:link w:val="880"/>
    <w:rPr>
      <w:b/>
      <w:sz w:val="32"/>
    </w:rPr>
    <w:pPr>
      <w:jc w:val="center"/>
      <w:widowControl/>
    </w:pPr>
  </w:style>
  <w:style w:type="paragraph" w:styleId="892">
    <w:name w:val="Основной текст 3"/>
    <w:basedOn w:val="880"/>
    <w:next w:val="892"/>
    <w:link w:val="880"/>
    <w:rPr>
      <w:sz w:val="16"/>
      <w:szCs w:val="16"/>
    </w:rPr>
    <w:pPr>
      <w:spacing w:after="120"/>
      <w:widowControl/>
    </w:pPr>
  </w:style>
  <w:style w:type="character" w:styleId="893">
    <w:name w:val="Гиперссылка"/>
    <w:next w:val="893"/>
    <w:link w:val="880"/>
    <w:rPr>
      <w:color w:val="0000FF"/>
      <w:u w:val="single"/>
    </w:rPr>
  </w:style>
  <w:style w:type="paragraph" w:styleId="894">
    <w:name w:val="Обычный (веб)"/>
    <w:basedOn w:val="880"/>
    <w:next w:val="894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5">
    <w:name w:val="western"/>
    <w:basedOn w:val="880"/>
    <w:next w:val="895"/>
    <w:link w:val="880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6">
    <w:name w:val="Верхний колонтитул Знак"/>
    <w:next w:val="896"/>
    <w:link w:val="885"/>
    <w:rPr>
      <w:lang w:val="ru-RU" w:bidi="ar-SA" w:eastAsia="ru-RU"/>
    </w:rPr>
  </w:style>
  <w:style w:type="paragraph" w:styleId="897">
    <w:name w:val="Нижний колонтитул"/>
    <w:basedOn w:val="880"/>
    <w:next w:val="897"/>
    <w:link w:val="898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8">
    <w:name w:val="Нижний колонтитул Знак"/>
    <w:next w:val="898"/>
    <w:link w:val="897"/>
    <w:rPr>
      <w:sz w:val="28"/>
      <w:lang w:val="ru-RU" w:bidi="ar-SA" w:eastAsia="ru-RU"/>
    </w:rPr>
  </w:style>
  <w:style w:type="paragraph" w:styleId="899">
    <w:name w:val="Основной текст"/>
    <w:basedOn w:val="880"/>
    <w:next w:val="899"/>
    <w:link w:val="880"/>
    <w:pPr>
      <w:spacing w:after="120"/>
    </w:pPr>
  </w:style>
  <w:style w:type="paragraph" w:styleId="900">
    <w:name w:val="Основной текст с отступом"/>
    <w:basedOn w:val="880"/>
    <w:next w:val="900"/>
    <w:link w:val="880"/>
    <w:pPr>
      <w:ind w:left="283"/>
      <w:spacing w:after="120"/>
    </w:pPr>
  </w:style>
  <w:style w:type="paragraph" w:styleId="901">
    <w:name w:val="Основной текст с отступом 3"/>
    <w:basedOn w:val="880"/>
    <w:next w:val="901"/>
    <w:link w:val="880"/>
    <w:rPr>
      <w:sz w:val="16"/>
      <w:szCs w:val="16"/>
    </w:rPr>
    <w:pPr>
      <w:ind w:left="283"/>
      <w:spacing w:after="120"/>
    </w:pPr>
  </w:style>
  <w:style w:type="paragraph" w:styleId="902">
    <w:name w:val="ConsNonformat"/>
    <w:next w:val="902"/>
    <w:link w:val="880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3">
    <w:name w:val="ConsNormal"/>
    <w:next w:val="903"/>
    <w:link w:val="880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4">
    <w:name w:val="Таблицы (моноширинный)"/>
    <w:basedOn w:val="880"/>
    <w:next w:val="880"/>
    <w:link w:val="880"/>
    <w:rPr>
      <w:rFonts w:ascii="Courier New" w:hAnsi="Courier New"/>
    </w:rPr>
    <w:pPr>
      <w:jc w:val="both"/>
    </w:pPr>
  </w:style>
  <w:style w:type="character" w:styleId="905">
    <w:name w:val="Основной текст2"/>
    <w:next w:val="905"/>
    <w:link w:val="880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6">
    <w:name w:val="ConsPlusTitle"/>
    <w:next w:val="906"/>
    <w:link w:val="880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paragraph" w:styleId="907">
    <w:name w:val="No Spacing"/>
    <w:next w:val="907"/>
    <w:link w:val="880"/>
    <w:rPr>
      <w:rFonts w:ascii="Calibri" w:hAnsi="Calibri"/>
      <w:sz w:val="22"/>
      <w:szCs w:val="22"/>
      <w:lang w:val="ru-RU" w:bidi="ar-SA" w:eastAsia="ru-RU"/>
    </w:rPr>
  </w:style>
  <w:style w:type="character" w:styleId="908">
    <w:name w:val="Font Style48"/>
    <w:next w:val="908"/>
    <w:link w:val="880"/>
    <w:rPr>
      <w:rFonts w:ascii="Times New Roman" w:hAnsi="Times New Roman"/>
      <w:b/>
      <w:bCs/>
      <w:sz w:val="26"/>
      <w:szCs w:val="26"/>
    </w:rPr>
  </w:style>
  <w:style w:type="character" w:styleId="909">
    <w:name w:val="Font Style49"/>
    <w:next w:val="909"/>
    <w:link w:val="880"/>
    <w:rPr>
      <w:rFonts w:ascii="Times New Roman" w:hAnsi="Times New Roman"/>
      <w:sz w:val="26"/>
      <w:szCs w:val="26"/>
    </w:rPr>
  </w:style>
  <w:style w:type="character" w:styleId="910">
    <w:name w:val="Font Style30"/>
    <w:next w:val="910"/>
    <w:link w:val="880"/>
    <w:rPr>
      <w:rFonts w:ascii="Times New Roman" w:hAnsi="Times New Roman"/>
      <w:sz w:val="22"/>
      <w:szCs w:val="22"/>
    </w:rPr>
  </w:style>
  <w:style w:type="character" w:styleId="911">
    <w:name w:val="Font Style29"/>
    <w:next w:val="911"/>
    <w:link w:val="880"/>
    <w:rPr>
      <w:rFonts w:ascii="Times New Roman" w:hAnsi="Times New Roman"/>
      <w:b/>
      <w:bCs/>
      <w:sz w:val="22"/>
      <w:szCs w:val="22"/>
    </w:rPr>
  </w:style>
  <w:style w:type="character" w:styleId="912" w:default="1">
    <w:name w:val="Default Paragraph Font"/>
    <w:uiPriority w:val="1"/>
    <w:semiHidden/>
    <w:unhideWhenUsed/>
  </w:style>
  <w:style w:type="numbering" w:styleId="913" w:default="1">
    <w:name w:val="No List"/>
    <w:uiPriority w:val="99"/>
    <w:semiHidden/>
    <w:unhideWhenUsed/>
  </w:style>
  <w:style w:type="paragraph" w:styleId="914" w:default="1">
    <w:name w:val="Normal"/>
    <w:qFormat/>
  </w:style>
  <w:style w:type="table" w:styleId="91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24</cp:revision>
  <dcterms:modified xsi:type="dcterms:W3CDTF">2025-05-28T07:51:12Z</dcterms:modified>
</cp:coreProperties>
</file>