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1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2024-12-02T10:23:07Z</dcterms:modified>
</cp:coreProperties>
</file>