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а) личное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\l "Par472"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заявление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на имя представителя нанимателя;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копию </w:t>
      </w:r>
      <w:r>
        <w:rPr>
          <w:color w:val="000000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color w:val="000000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(форма 001-ГС/у)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color w:val="000000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ж) иные документы, предусмотренные Федеральным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от 02 марта 2007 года </w:t>
      </w: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</w:t>
      </w:r>
      <w:r>
        <w:rPr>
          <w:rFonts w:ascii="Times New Roman" w:hAnsi="Times New Roman"/>
          <w:sz w:val="24"/>
          <w:szCs w:val="24"/>
        </w:rPr>
        <w:t xml:space="preserve">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</w:t>
      </w:r>
      <w:r/>
    </w:p>
    <w:p>
      <w:pPr>
        <w:pStyle w:val="890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муниципального округа;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противодействию коррупции;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9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муниципальному округу;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90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6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3">
    <w:name w:val="Абзац списка Знак"/>
    <w:next w:val="923"/>
    <w:link w:val="922"/>
    <w:rPr>
      <w:sz w:val="24"/>
      <w:szCs w:val="22"/>
      <w:lang w:val="en-US" w:bidi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2024-12-02T10:11:40Z</dcterms:modified>
</cp:coreProperties>
</file>