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94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Информационное сообщение  о проведении </w:t>
      </w:r>
      <w:r>
        <w:rPr>
          <w:b/>
          <w:sz w:val="28"/>
          <w:szCs w:val="28"/>
        </w:rPr>
        <w:t xml:space="preserve">повторного </w:t>
      </w:r>
      <w:r>
        <w:rPr>
          <w:b/>
          <w:sz w:val="28"/>
          <w:szCs w:val="28"/>
        </w:rPr>
        <w:t xml:space="preserve">конкурса</w:t>
      </w:r>
      <w:r>
        <w:rPr>
          <w:b/>
          <w:sz w:val="28"/>
          <w:szCs w:val="28"/>
        </w:rPr>
      </w:r>
      <w:r/>
    </w:p>
    <w:p>
      <w:pPr>
        <w:pStyle w:val="894"/>
        <w:ind w:firstLine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903"/>
        <w:ind w:firstLine="720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Администрация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Новооскольского городского округа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объявляет о проведении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повторного </w:t>
      </w:r>
      <w:r>
        <w:rPr>
          <w:rFonts w:ascii="Times New Roman" w:hAnsi="Times New Roman"/>
          <w:sz w:val="24"/>
          <w:szCs w:val="24"/>
        </w:rPr>
        <w:t xml:space="preserve">конкурс</w:t>
      </w:r>
      <w:r>
        <w:rPr>
          <w:rFonts w:ascii="Times New Roman" w:hAnsi="Times New Roman"/>
          <w:sz w:val="24"/>
          <w:szCs w:val="24"/>
        </w:rPr>
        <w:t xml:space="preserve">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на замещение вакант</w:t>
      </w:r>
      <w:r>
        <w:rPr>
          <w:rFonts w:ascii="Times New Roman" w:hAnsi="Times New Roman"/>
          <w:sz w:val="24"/>
          <w:szCs w:val="24"/>
        </w:rPr>
        <w:t xml:space="preserve">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должност</w:t>
      </w:r>
      <w:r>
        <w:rPr>
          <w:rFonts w:ascii="Times New Roman" w:hAnsi="Times New Roman"/>
          <w:sz w:val="24"/>
          <w:szCs w:val="24"/>
        </w:rPr>
        <w:t xml:space="preserve">и </w:t>
      </w:r>
      <w:r>
        <w:rPr>
          <w:rFonts w:ascii="Times New Roman" w:hAnsi="Times New Roman"/>
          <w:sz w:val="24"/>
          <w:szCs w:val="24"/>
        </w:rPr>
        <w:t xml:space="preserve">муниципальной службы</w:t>
      </w:r>
      <w:r>
        <w:rPr>
          <w:rFonts w:ascii="Times New Roman" w:hAnsi="Times New Roman"/>
          <w:sz w:val="24"/>
          <w:szCs w:val="24"/>
        </w:rPr>
        <w:t xml:space="preserve"> -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главного специалиста </w:t>
      </w:r>
      <w:r>
        <w:rPr>
          <w:rFonts w:ascii="Times New Roman" w:hAnsi="Times New Roman"/>
          <w:sz w:val="24"/>
          <w:szCs w:val="24"/>
        </w:rPr>
        <w:t xml:space="preserve">отдела муниципальной службы и наградной деятельности </w:t>
      </w:r>
      <w:r>
        <w:rPr>
          <w:rFonts w:ascii="Times New Roman" w:hAnsi="Times New Roman"/>
          <w:sz w:val="24"/>
          <w:szCs w:val="24"/>
        </w:rPr>
        <w:t xml:space="preserve">управления организационно-контрольной и кадровой работы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администрации </w:t>
      </w:r>
      <w:r>
        <w:rPr>
          <w:rFonts w:ascii="Times New Roman" w:hAnsi="Times New Roman"/>
          <w:sz w:val="24"/>
          <w:szCs w:val="24"/>
        </w:rPr>
        <w:t xml:space="preserve">Новооскольского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903"/>
        <w:ind w:firstLine="720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Гражданином на конкурс представляются следующие документы:</w:t>
      </w:r>
      <w:r>
        <w:rPr>
          <w:rFonts w:ascii="Times New Roman" w:hAnsi="Times New Roman"/>
        </w:rPr>
      </w:r>
      <w:r/>
    </w:p>
    <w:p>
      <w:pPr>
        <w:pStyle w:val="894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а) личное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\l "Par472"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заявление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на имя представителя нанимателя;</w:t>
      </w:r>
      <w:r/>
    </w:p>
    <w:p>
      <w:pPr>
        <w:pStyle w:val="894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б) заполненную и подписанную анкету по форме, утвержденной Правительством Российской Федерации, с фотографией;</w:t>
      </w:r>
      <w:r/>
    </w:p>
    <w:p>
      <w:pPr>
        <w:pStyle w:val="894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в) копию паспорта или заменяющего его документа (соответствующий документ предъявляется лично по прибытии на конкурс);</w:t>
      </w:r>
      <w:r/>
    </w:p>
    <w:p>
      <w:pPr>
        <w:pStyle w:val="894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г) документы, подтверждающие необходимое профессиональное образование, квалификацию и стаж работы:</w:t>
      </w:r>
      <w:r/>
    </w:p>
    <w:p>
      <w:pPr>
        <w:pStyle w:val="894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копию </w:t>
      </w:r>
      <w:r>
        <w:rPr>
          <w:sz w:val="24"/>
          <w:szCs w:val="24"/>
        </w:rPr>
        <w:t xml:space="preserve">трудовой книжки (за исключением случаев, когда служебная (трудовая) деятельность осуществляется впервые), заверенную нотариально или кадровой службой по месту работы (службы), или иные документы, подтверждающие трудовую (служебную) деятельность гражданина;</w:t>
      </w:r>
      <w:r/>
    </w:p>
    <w:p>
      <w:pPr>
        <w:pStyle w:val="894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копии документов об образовании и о квалификации, а также по желанию гражданина ко</w:t>
      </w:r>
      <w:r>
        <w:rPr>
          <w:sz w:val="24"/>
          <w:szCs w:val="24"/>
        </w:rPr>
        <w:t xml:space="preserve">пии документов, подтверждающих повышение или присвоение квалификации по результатам дополнительного профессионального образования, документов о присвоении ученой степени, ученого звания, заверенные нотариально или кадровой службой по месту работы (службы).</w:t>
      </w:r>
      <w:r/>
    </w:p>
    <w:p>
      <w:pPr>
        <w:pStyle w:val="894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д) документ об отсутствии у гражданина заболевания, препятствующего поступлению на муниципальную службу или ее прохождению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"consultantplus://offline/ref=BE49117E02F2DB2780BEECBE891B31FA80BE595668FD8845684E6243C3C272A3EB1AE21FF86455Z5T4I"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(форма 001-ГС/у)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;</w:t>
      </w:r>
      <w:r/>
    </w:p>
    <w:p>
      <w:pPr>
        <w:pStyle w:val="894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е) сведения о своих доходах, расходах, об имуществе и обязательствах имущественного характера, а также о доходах, расходах, об имуществе и обязательствах имущественного характера членов своей семьи;</w:t>
      </w:r>
      <w:r/>
    </w:p>
    <w:p>
      <w:pPr>
        <w:pStyle w:val="894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ж) сведения об адресах сайтов и (или) страниц сайтов в информационно-телекоммуникационной сети Интернет, на которых гражданин, претендующий на замещение должности муниципальной службы, размещал общедоступ</w:t>
      </w:r>
      <w:r>
        <w:rPr>
          <w:sz w:val="24"/>
          <w:szCs w:val="24"/>
        </w:rPr>
        <w:t xml:space="preserve">ную  информацию, а также данные, позволяющие его идентифицировать, по форме, утвержденной распоряжением  Правительства Российской Федерации от 28 декабря 2016 года № 2867-р, за  три календарных года, предшествующих году поступления на муниципальную службу;</w:t>
      </w:r>
      <w:r/>
    </w:p>
    <w:p>
      <w:pPr>
        <w:pStyle w:val="894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з) иные документы, предусмотренные Федеральным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"consultantplus://offline/ref=BE49117E02F2DB2780BEECBE891B31FA88BF5C5460F6D54F60176E41C4CD2DB4EC53EE1EF8665055Z8TCI"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законом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от 02 марта 2007 года </w:t>
      </w:r>
      <w:r>
        <w:rPr>
          <w:sz w:val="24"/>
          <w:szCs w:val="24"/>
        </w:rPr>
        <w:t xml:space="preserve">                   </w:t>
      </w:r>
      <w:r>
        <w:rPr>
          <w:sz w:val="24"/>
          <w:szCs w:val="24"/>
        </w:rPr>
        <w:t xml:space="preserve">№ 25-ФЗ «О муниципальной службе в Российской Федерации», другими федеральными законами, указами Президента Российской Федерации и постановлениями Правительства Российской Федерации.</w:t>
      </w:r>
      <w:r/>
    </w:p>
    <w:p>
      <w:pPr>
        <w:pStyle w:val="903"/>
        <w:jc w:val="both"/>
        <w:rPr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b/>
          <w:bCs/>
          <w:color w:val="000000"/>
          <w:sz w:val="24"/>
          <w:szCs w:val="24"/>
        </w:rPr>
      </w:r>
      <w:r/>
    </w:p>
    <w:p>
      <w:pPr>
        <w:pStyle w:val="894"/>
        <w:jc w:val="center"/>
        <w:rPr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Квалификационные требования к образованию и стажу (опыту) работы по специальности</w:t>
      </w:r>
      <w:r>
        <w:rPr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809"/>
        <w:gridCol w:w="6660"/>
      </w:tblGrid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94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b/>
                <w:color w:val="000000"/>
                <w:sz w:val="24"/>
                <w:szCs w:val="24"/>
              </w:rPr>
            </w:r>
            <w:r/>
          </w:p>
        </w:tc>
        <w:tc>
          <w:tcPr>
            <w:tcW w:w="2809" w:type="dxa"/>
            <w:vAlign w:val="center"/>
            <w:textDirection w:val="lrTb"/>
            <w:noWrap w:val="false"/>
          </w:tcPr>
          <w:p>
            <w:pPr>
              <w:pStyle w:val="894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</w:t>
            </w:r>
            <w:r/>
          </w:p>
          <w:p>
            <w:pPr>
              <w:pStyle w:val="89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660" w:type="dxa"/>
            <w:vAlign w:val="center"/>
            <w:textDirection w:val="lrTb"/>
            <w:noWrap w:val="false"/>
          </w:tcPr>
          <w:p>
            <w:pPr>
              <w:pStyle w:val="89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Требования к образованию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и 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89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к стажу (опыту) работы по специальности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324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9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809" w:type="dxa"/>
            <w:vAlign w:val="top"/>
            <w:textDirection w:val="lrTb"/>
            <w:noWrap w:val="false"/>
          </w:tcPr>
          <w:p>
            <w:pPr>
              <w:pStyle w:val="894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</w:t>
            </w:r>
            <w:r>
              <w:rPr>
                <w:color w:val="000000"/>
                <w:sz w:val="24"/>
                <w:szCs w:val="24"/>
              </w:rPr>
              <w:t xml:space="preserve">лавн</w:t>
            </w:r>
            <w:r>
              <w:rPr>
                <w:color w:val="000000"/>
                <w:sz w:val="24"/>
                <w:szCs w:val="24"/>
              </w:rPr>
              <w:t xml:space="preserve">ый</w:t>
            </w:r>
            <w:r>
              <w:rPr>
                <w:color w:val="000000"/>
                <w:sz w:val="24"/>
                <w:szCs w:val="24"/>
              </w:rPr>
              <w:t xml:space="preserve"> специалист </w:t>
            </w:r>
            <w:r>
              <w:rPr>
                <w:color w:val="000000"/>
                <w:sz w:val="24"/>
                <w:szCs w:val="24"/>
              </w:rPr>
              <w:t xml:space="preserve">отдела муниципальной службы и наградной деятельности </w:t>
            </w:r>
            <w:r>
              <w:rPr>
                <w:color w:val="000000"/>
                <w:sz w:val="24"/>
                <w:szCs w:val="24"/>
              </w:rPr>
              <w:t xml:space="preserve">управления организационно-контрольной и кадровой работы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администрации </w:t>
            </w:r>
            <w:r>
              <w:rPr>
                <w:color w:val="000000"/>
                <w:sz w:val="24"/>
                <w:szCs w:val="24"/>
              </w:rPr>
              <w:t xml:space="preserve">Новооскольского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муниципального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 w:themeColor="text1"/>
                <w:spacing w:val="0"/>
                <w:sz w:val="27"/>
                <w:szCs w:val="24"/>
              </w:rPr>
              <w:t xml:space="preserve">округа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/>
          </w:p>
        </w:tc>
        <w:tc>
          <w:tcPr>
            <w:tcW w:w="6660" w:type="dxa"/>
            <w:vAlign w:val="top"/>
            <w:textDirection w:val="lrTb"/>
            <w:noWrap w:val="false"/>
          </w:tcPr>
          <w:p>
            <w:pPr>
              <w:pStyle w:val="89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</w:t>
            </w:r>
            <w:r>
              <w:rPr>
                <w:sz w:val="24"/>
                <w:szCs w:val="24"/>
              </w:rPr>
              <w:t xml:space="preserve">Наличие высшего образования без предъявления требований к стажу муниципальной службы или работы по специальности, направлению подготовки;</w:t>
            </w:r>
            <w:r/>
          </w:p>
          <w:p>
            <w:pPr>
              <w:pStyle w:val="894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>
              <w:rPr>
                <w:sz w:val="24"/>
                <w:szCs w:val="24"/>
              </w:rPr>
              <w:t xml:space="preserve">     Квалификационные требования к знаниям и умениям, которые необходимы для исполнения должностных обязанностей, устанавливаются в зависимости от области и вида профессиональной служебной деятельности муниципального служащего его должностной  инструкцией.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</w:tbl>
    <w:p>
      <w:pPr>
        <w:pStyle w:val="894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94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Квалификационные требования</w:t>
      </w:r>
      <w:r/>
    </w:p>
    <w:p>
      <w:pPr>
        <w:pStyle w:val="894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 профессиональным знаниям и навыкам, необходимым для исполнения </w:t>
      </w:r>
      <w:r>
        <w:rPr>
          <w:b/>
          <w:sz w:val="24"/>
          <w:szCs w:val="24"/>
        </w:rPr>
      </w:r>
      <w:r/>
    </w:p>
    <w:p>
      <w:pPr>
        <w:pStyle w:val="894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должностных обязанностей муниципальными служащими</w:t>
      </w:r>
      <w:r>
        <w:rPr>
          <w:b/>
          <w:sz w:val="24"/>
          <w:szCs w:val="24"/>
        </w:rPr>
        <w:t xml:space="preserve">  </w:t>
      </w:r>
      <w:r>
        <w:rPr>
          <w:b/>
          <w:bCs/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100"/>
        <w:gridCol w:w="7369"/>
      </w:tblGrid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94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00" w:type="dxa"/>
            <w:vAlign w:val="center"/>
            <w:textDirection w:val="lrTb"/>
            <w:noWrap w:val="false"/>
          </w:tcPr>
          <w:p>
            <w:pPr>
              <w:pStyle w:val="89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 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7369" w:type="dxa"/>
            <w:vAlign w:val="center"/>
            <w:textDirection w:val="lrTb"/>
            <w:noWrap w:val="false"/>
          </w:tcPr>
          <w:p>
            <w:pPr>
              <w:pStyle w:val="894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общим профессиональным знаниям и навыкам  (компетенциям)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5951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9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00" w:type="dxa"/>
            <w:vAlign w:val="top"/>
            <w:textDirection w:val="lrTb"/>
            <w:noWrap w:val="false"/>
          </w:tcPr>
          <w:p>
            <w:pPr>
              <w:pStyle w:val="89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</w:t>
            </w:r>
            <w:r>
              <w:rPr>
                <w:color w:val="000000"/>
                <w:sz w:val="24"/>
                <w:szCs w:val="24"/>
              </w:rPr>
              <w:t xml:space="preserve">лавн</w:t>
            </w:r>
            <w:r>
              <w:rPr>
                <w:color w:val="000000"/>
                <w:sz w:val="24"/>
                <w:szCs w:val="24"/>
              </w:rPr>
              <w:t xml:space="preserve">ый</w:t>
            </w:r>
            <w:r>
              <w:rPr>
                <w:color w:val="000000"/>
                <w:sz w:val="24"/>
                <w:szCs w:val="24"/>
              </w:rPr>
              <w:t xml:space="preserve"> специалист </w:t>
            </w:r>
            <w:r>
              <w:rPr>
                <w:color w:val="000000"/>
                <w:sz w:val="24"/>
                <w:szCs w:val="24"/>
              </w:rPr>
              <w:t xml:space="preserve">отдела муниципальной службы и наградной деятельности </w:t>
            </w:r>
            <w:r>
              <w:rPr>
                <w:color w:val="000000"/>
                <w:sz w:val="24"/>
                <w:szCs w:val="24"/>
              </w:rPr>
              <w:t xml:space="preserve">управления организационно-контрольной и кадровой работы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администрации </w:t>
            </w:r>
            <w:r>
              <w:rPr>
                <w:color w:val="000000"/>
                <w:sz w:val="24"/>
                <w:szCs w:val="24"/>
              </w:rPr>
              <w:t xml:space="preserve">Новооскольского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муниципального</w:t>
            </w:r>
            <w:r>
              <w:rPr>
                <w:color w:val="000000"/>
                <w:sz w:val="24"/>
                <w:szCs w:val="24"/>
              </w:rPr>
              <w:t xml:space="preserve">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7369" w:type="dxa"/>
            <w:vAlign w:val="top"/>
            <w:textDirection w:val="lrTb"/>
            <w:noWrap w:val="false"/>
          </w:tcPr>
          <w:p>
            <w:pPr>
              <w:pStyle w:val="894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</w:t>
            </w:r>
            <w:r>
              <w:rPr>
                <w:color w:val="000000"/>
                <w:sz w:val="24"/>
                <w:szCs w:val="24"/>
              </w:rPr>
              <w:t xml:space="preserve"> знание Конституции Российской Федерации, Устава Новооскольского городского округа, основ федерального и областного законодательства о муниципальной службе и законодательства о противодействии коррупции;</w:t>
            </w:r>
            <w:r/>
          </w:p>
          <w:p>
            <w:pPr>
              <w:pStyle w:val="894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</w:t>
            </w:r>
            <w:r>
              <w:rPr>
                <w:color w:val="000000"/>
                <w:sz w:val="24"/>
                <w:szCs w:val="24"/>
              </w:rPr>
              <w:t xml:space="preserve"> знания в области информационно-коммуникационных технологий (далее </w:t>
            </w:r>
            <w:r>
              <w:rPr>
                <w:color w:val="000000"/>
                <w:sz w:val="24"/>
                <w:szCs w:val="24"/>
              </w:rPr>
              <w:t xml:space="preserve">-</w:t>
            </w:r>
            <w:r>
              <w:rPr>
                <w:color w:val="000000"/>
                <w:sz w:val="24"/>
                <w:szCs w:val="24"/>
              </w:rPr>
              <w:t xml:space="preserve"> ИКТ): аппаратного и программного</w:t>
            </w:r>
            <w:r>
              <w:rPr>
                <w:color w:val="000000"/>
                <w:sz w:val="24"/>
                <w:szCs w:val="24"/>
              </w:rPr>
              <w:t xml:space="preserve"> обеспечения, возможностей и особенностей применения современных ИКТ в администрации Новооскольского городского округа, включая использование возможностей межведомственного документооборота, общих вопросов в области обеспечения информационной безопасности;</w:t>
            </w:r>
            <w:r/>
          </w:p>
          <w:p>
            <w:pPr>
              <w:pStyle w:val="894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</w:t>
            </w:r>
            <w:r>
              <w:rPr>
                <w:color w:val="000000"/>
                <w:sz w:val="24"/>
                <w:szCs w:val="24"/>
              </w:rPr>
              <w:t xml:space="preserve"> навыки владения современными средствами, методами и технологией работы с информацией (работы с внутренними </w:t>
            </w:r>
            <w:r>
              <w:rPr>
                <w:color w:val="000000"/>
                <w:sz w:val="24"/>
                <w:szCs w:val="24"/>
              </w:rPr>
              <w:t xml:space="preserve">и периферийными устройствами компьютера, работы в операционной системе, управления электронной почтой, работы в текстовом редакторе, работы с электронными таблицами и базами данных, с информационно-телекоммуникационными сетями, в том числе сетью Интернет);</w:t>
            </w:r>
            <w:r/>
          </w:p>
          <w:p>
            <w:pPr>
              <w:pStyle w:val="894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</w:t>
            </w:r>
            <w:r>
              <w:rPr>
                <w:color w:val="000000"/>
                <w:sz w:val="24"/>
                <w:szCs w:val="24"/>
              </w:rPr>
              <w:t xml:space="preserve"> способность логически верно, аргументированно и ясно строить устную и письменную речь; грамотное написание текста на русском языке;</w:t>
            </w:r>
            <w:r/>
          </w:p>
          <w:p>
            <w:pPr>
              <w:pStyle w:val="894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знание основ делопроизводства и документооборота (умение правильно оформлять документы; знание процедуры их согласования, утверждения, хранения и перемещения).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894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1231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9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00" w:type="dxa"/>
            <w:vAlign w:val="top"/>
            <w:textDirection w:val="lrTb"/>
            <w:noWrap w:val="false"/>
          </w:tcPr>
          <w:p>
            <w:pPr>
              <w:pStyle w:val="89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7369" w:type="dxa"/>
            <w:vAlign w:val="top"/>
            <w:textDirection w:val="lrTb"/>
            <w:noWrap w:val="false"/>
          </w:tcPr>
          <w:p>
            <w:pPr>
              <w:pStyle w:val="894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специальным профессиональным знаниям и навыкам (компетенциям), предъявляемыми к муниципальным служащим, замещающим должности муниципальной  службы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1231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9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00" w:type="dxa"/>
            <w:vAlign w:val="top"/>
            <w:textDirection w:val="lrTb"/>
            <w:noWrap w:val="false"/>
          </w:tcPr>
          <w:p>
            <w:pPr>
              <w:pStyle w:val="89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</w:t>
            </w:r>
            <w:r>
              <w:rPr>
                <w:color w:val="000000"/>
                <w:sz w:val="24"/>
                <w:szCs w:val="24"/>
              </w:rPr>
              <w:t xml:space="preserve">ла</w:t>
            </w:r>
            <w:r>
              <w:rPr>
                <w:color w:val="000000"/>
                <w:sz w:val="24"/>
                <w:szCs w:val="24"/>
              </w:rPr>
              <w:t xml:space="preserve">вн</w:t>
            </w:r>
            <w:r>
              <w:rPr>
                <w:color w:val="000000"/>
                <w:sz w:val="24"/>
                <w:szCs w:val="24"/>
              </w:rPr>
              <w:t xml:space="preserve">ый</w:t>
            </w:r>
            <w:r>
              <w:rPr>
                <w:color w:val="000000"/>
                <w:sz w:val="24"/>
                <w:szCs w:val="24"/>
              </w:rPr>
              <w:t xml:space="preserve"> специалист </w:t>
            </w:r>
            <w:r>
              <w:rPr>
                <w:color w:val="000000"/>
                <w:sz w:val="24"/>
                <w:szCs w:val="24"/>
              </w:rPr>
              <w:t xml:space="preserve">отдела муниципальной службы и наградной деятельности </w:t>
            </w:r>
            <w:r>
              <w:rPr>
                <w:color w:val="000000"/>
                <w:sz w:val="24"/>
                <w:szCs w:val="24"/>
              </w:rPr>
              <w:t xml:space="preserve">управления организационно-контрольной и кадровой работы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администрации </w:t>
            </w:r>
            <w:r>
              <w:rPr>
                <w:color w:val="000000"/>
                <w:sz w:val="24"/>
                <w:szCs w:val="24"/>
              </w:rPr>
              <w:t xml:space="preserve">Новооскольского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муниципального</w:t>
            </w:r>
            <w:r>
              <w:rPr>
                <w:color w:val="000000"/>
                <w:sz w:val="24"/>
                <w:szCs w:val="24"/>
              </w:rPr>
              <w:t xml:space="preserve"> округа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tcW w:w="7369" w:type="dxa"/>
            <w:vAlign w:val="top"/>
            <w:textDirection w:val="lrTb"/>
            <w:noWrap w:val="false"/>
          </w:tcPr>
          <w:p>
            <w:pPr>
              <w:pStyle w:val="928"/>
              <w:ind w:left="0"/>
              <w:tabs>
                <w:tab w:val="left" w:pos="780" w:leader="none"/>
              </w:tabs>
              <w:rPr>
                <w:color w:val="000000"/>
                <w:sz w:val="24"/>
                <w:szCs w:val="24"/>
                <w:lang w:bidi="ar-SA" w:eastAsia="ru-RU"/>
              </w:rPr>
            </w:pPr>
            <w:r>
              <w:rPr>
                <w:color w:val="000000"/>
                <w:sz w:val="24"/>
                <w:szCs w:val="24"/>
                <w:lang w:bidi="ar-SA" w:eastAsia="ru-RU"/>
              </w:rPr>
              <w:t xml:space="preserve">- Трудовой кодекс Российской Федерации;</w:t>
            </w:r>
            <w:r/>
          </w:p>
          <w:p>
            <w:pPr>
              <w:pStyle w:val="894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Федеральный закон от 02 марта 2007 года № 25-ФЗ</w:t>
            </w:r>
            <w:r>
              <w:rPr>
                <w:color w:val="000000"/>
                <w:sz w:val="24"/>
                <w:szCs w:val="24"/>
              </w:rPr>
              <w:t xml:space="preserve">                                   «О муниципальной службе в Российской Федерации»;</w:t>
            </w:r>
            <w:r/>
          </w:p>
          <w:p>
            <w:pPr>
              <w:pStyle w:val="894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Федеральный закон от 05 апреля 2013 года № 44-ФЗ                                 </w:t>
            </w:r>
            <w:r>
              <w:rPr>
                <w:color w:val="000000"/>
                <w:sz w:val="24"/>
                <w:szCs w:val="24"/>
              </w:rPr>
              <w:t xml:space="preserve">«О контрактной системе в сфере закупок товаров, работ, услуг для обеспечения государственных и муниципальных нужд»;</w:t>
            </w:r>
            <w:r/>
          </w:p>
          <w:p>
            <w:pPr>
              <w:pStyle w:val="894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Федеральный закон от 27 июля 2006 года № 152-ФЗ </w:t>
            </w:r>
            <w:r>
              <w:rPr>
                <w:color w:val="000000"/>
                <w:sz w:val="24"/>
                <w:szCs w:val="24"/>
              </w:rPr>
              <w:t xml:space="preserve">                                 </w:t>
            </w:r>
            <w:r>
              <w:rPr>
                <w:color w:val="000000"/>
                <w:sz w:val="24"/>
                <w:szCs w:val="24"/>
              </w:rPr>
              <w:t xml:space="preserve">«О персональных данных»; </w:t>
            </w:r>
            <w:r/>
          </w:p>
          <w:p>
            <w:pPr>
              <w:pStyle w:val="894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Федеральный закон от 17 июля 2009 года № 172-ФЗ                                        «Об антикоррупционной экспертизе нормативных правовых актов и проектов нормативных правовых актов»;</w:t>
            </w:r>
            <w:r/>
          </w:p>
          <w:p>
            <w:pPr>
              <w:pStyle w:val="894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Федеральный закон от 09 февраля 2009 года № 8-ФЗ </w:t>
            </w:r>
            <w:r>
              <w:rPr>
                <w:color w:val="000000"/>
                <w:sz w:val="24"/>
                <w:szCs w:val="24"/>
              </w:rPr>
              <w:t xml:space="preserve">                              </w:t>
            </w:r>
            <w:r>
              <w:rPr>
                <w:color w:val="000000"/>
                <w:sz w:val="24"/>
                <w:szCs w:val="24"/>
              </w:rPr>
              <w:t xml:space="preserve">«Об обеспечении доступа к информации о деятельности государственных органов и органов местного самоуправления»;</w:t>
            </w:r>
            <w:r/>
          </w:p>
          <w:p>
            <w:pPr>
              <w:pStyle w:val="894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Федеральный закон от 03 декабря 2012 года № 230-ФЗ </w:t>
            </w:r>
            <w:r>
              <w:rPr>
                <w:color w:val="000000"/>
                <w:sz w:val="24"/>
                <w:szCs w:val="24"/>
              </w:rPr>
              <w:t xml:space="preserve">                           </w:t>
            </w:r>
            <w:r>
              <w:rPr>
                <w:color w:val="000000"/>
                <w:sz w:val="24"/>
                <w:szCs w:val="24"/>
              </w:rPr>
              <w:t xml:space="preserve">«О контроле за соответствием расходов лиц, замещающих государственные должности, и иных лиц их доходам»;</w:t>
            </w:r>
            <w:r/>
          </w:p>
          <w:p>
            <w:pPr>
              <w:pStyle w:val="894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Указ Президента Российской Федерации от 23 июня 2014 года </w:t>
            </w:r>
            <w:r>
              <w:rPr>
                <w:color w:val="000000"/>
                <w:sz w:val="24"/>
                <w:szCs w:val="24"/>
              </w:rPr>
              <w:t xml:space="preserve">             </w:t>
            </w:r>
            <w:r>
              <w:rPr>
                <w:color w:val="000000"/>
                <w:sz w:val="24"/>
                <w:szCs w:val="24"/>
              </w:rPr>
              <w:t xml:space="preserve">№ 460 «Об утверждении формы справки о доходах, расходах, об имуществе и обязательствах имущественного характера и внесении изменений в некоторые акты Президента Российской Федерации»;</w:t>
            </w:r>
            <w:r/>
          </w:p>
          <w:p>
            <w:pPr>
              <w:pStyle w:val="894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Указ Президента Российской Федерации от 12 августа 2002 года            № 885 «Об утверждении общих принципов служебного поведения государственных служащих»;</w:t>
            </w:r>
            <w:r/>
          </w:p>
          <w:p>
            <w:pPr>
              <w:pStyle w:val="894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Указ Президента Российской Федерации от 21 се</w:t>
            </w:r>
            <w:r>
              <w:rPr>
                <w:color w:val="000000"/>
                <w:sz w:val="24"/>
                <w:szCs w:val="24"/>
              </w:rPr>
              <w:t xml:space="preserve">нтября 2009 года </w:t>
            </w:r>
            <w:r>
              <w:rPr>
                <w:color w:val="000000"/>
                <w:sz w:val="24"/>
                <w:szCs w:val="24"/>
              </w:rPr>
              <w:t xml:space="preserve">№ 1065 «О проверке достоверно</w:t>
            </w:r>
            <w:r>
              <w:rPr>
                <w:color w:val="000000"/>
                <w:sz w:val="24"/>
                <w:szCs w:val="24"/>
              </w:rPr>
              <w:t xml:space="preserve">сти и полноты сведений, представляемых гражданами, претендующими на замещение должностей федеральной государственной службы, и федеральными государственными служащими, и соблюдения федеральными государственными служащими требований к служебному поведению»;</w:t>
            </w:r>
            <w:r/>
          </w:p>
          <w:p>
            <w:pPr>
              <w:pStyle w:val="894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Указ Президента Российской Федерации от 01 </w:t>
            </w:r>
            <w:r>
              <w:rPr>
                <w:color w:val="000000"/>
                <w:sz w:val="24"/>
                <w:szCs w:val="24"/>
              </w:rPr>
              <w:t xml:space="preserve">июля 2010 года                № 821 </w:t>
            </w:r>
            <w:r>
              <w:rPr>
                <w:color w:val="000000"/>
                <w:sz w:val="24"/>
                <w:szCs w:val="24"/>
              </w:rPr>
              <w:t xml:space="preserve">«О комиссиях по соблюдению требований к служебному поведению федеральных государственных служащих и урегулированию конфликта интересов»;</w:t>
            </w:r>
            <w:r/>
          </w:p>
          <w:p>
            <w:pPr>
              <w:pStyle w:val="894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Указ Президента Российской Федерации от 08 июля 2013 года </w:t>
            </w:r>
            <w:r>
              <w:rPr>
                <w:color w:val="000000"/>
                <w:sz w:val="24"/>
                <w:szCs w:val="24"/>
              </w:rPr>
              <w:t xml:space="preserve">               </w:t>
            </w:r>
            <w:r>
              <w:rPr>
                <w:color w:val="000000"/>
                <w:sz w:val="24"/>
                <w:szCs w:val="24"/>
              </w:rPr>
              <w:t xml:space="preserve">№ 613 «Вопросы противодействия коррупции»</w:t>
            </w:r>
            <w:r/>
          </w:p>
        </w:tc>
      </w:tr>
    </w:tbl>
    <w:p>
      <w:pPr>
        <w:pStyle w:val="894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94"/>
        <w:ind w:firstLine="72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Муниципальный служащий </w:t>
      </w:r>
      <w:r>
        <w:rPr>
          <w:color w:val="000000"/>
          <w:sz w:val="24"/>
          <w:szCs w:val="24"/>
        </w:rPr>
        <w:t xml:space="preserve">в пределах своей компетенции выполняет следующие </w:t>
      </w:r>
      <w:r>
        <w:rPr>
          <w:sz w:val="24"/>
          <w:szCs w:val="24"/>
        </w:rPr>
        <w:t xml:space="preserve">должностные обязанности:  </w:t>
      </w:r>
      <w:r/>
    </w:p>
    <w:p>
      <w:pPr>
        <w:pStyle w:val="894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>
        <w:rPr>
          <w:sz w:val="24"/>
          <w:szCs w:val="24"/>
        </w:rPr>
        <w:t xml:space="preserve">Обеспечивает подготовку материалов к поощрениям, награждениям, осуществляет оформление наградных документов.</w:t>
      </w:r>
      <w:r/>
    </w:p>
    <w:p>
      <w:pPr>
        <w:pStyle w:val="928"/>
        <w:ind w:left="0"/>
        <w:tabs>
          <w:tab w:val="left" w:pos="900" w:leader="none"/>
          <w:tab w:val="right" w:pos="9355" w:leader="none"/>
        </w:tabs>
        <w:rPr>
          <w:sz w:val="24"/>
          <w:szCs w:val="24"/>
          <w:lang w:val="ru-RU" w:bidi="ar-SA" w:eastAsia="ru-RU"/>
        </w:rPr>
      </w:pPr>
      <w:r>
        <w:rPr>
          <w:sz w:val="24"/>
          <w:szCs w:val="24"/>
          <w:lang w:val="ru-RU" w:bidi="ar-SA" w:eastAsia="ru-RU"/>
        </w:rPr>
        <w:t xml:space="preserve">           - </w:t>
      </w:r>
      <w:r>
        <w:rPr>
          <w:sz w:val="24"/>
          <w:szCs w:val="24"/>
          <w:lang w:val="ru-RU" w:bidi="ar-SA" w:eastAsia="ru-RU"/>
        </w:rPr>
        <w:t xml:space="preserve">Обеспечивает ежемесячную подготовку и рассылку списков дней рождения руководителей учреждений, предприятий, организаций, Почетных граждан Новооскольского городского округа в управление государственной службы и кадров </w:t>
      </w:r>
      <w:r>
        <w:rPr>
          <w:sz w:val="24"/>
          <w:szCs w:val="24"/>
          <w:lang w:val="ru-RU" w:bidi="ar-SA" w:eastAsia="ru-RU"/>
        </w:rPr>
        <w:t xml:space="preserve">Администрации Губернатора </w:t>
      </w:r>
      <w:r>
        <w:rPr>
          <w:sz w:val="24"/>
          <w:szCs w:val="24"/>
          <w:lang w:val="ru-RU" w:bidi="ar-SA" w:eastAsia="ru-RU"/>
        </w:rPr>
        <w:t xml:space="preserve">Белгородской области, главе администрации Новооскольского городского округа и его заместителям, контроль за включением  и исключением из списка дней рождения.</w:t>
      </w:r>
      <w:r/>
    </w:p>
    <w:p>
      <w:pPr>
        <w:pStyle w:val="928"/>
        <w:ind w:left="0"/>
        <w:tabs>
          <w:tab w:val="left" w:pos="900" w:leader="none"/>
          <w:tab w:val="right" w:pos="9355" w:leader="none"/>
        </w:tabs>
        <w:rPr>
          <w:sz w:val="24"/>
          <w:szCs w:val="24"/>
          <w:lang w:val="ru-RU" w:bidi="ar-SA" w:eastAsia="ru-RU"/>
        </w:rPr>
      </w:pPr>
      <w:r>
        <w:rPr>
          <w:sz w:val="24"/>
          <w:szCs w:val="24"/>
          <w:lang w:val="ru-RU" w:bidi="ar-SA" w:eastAsia="ru-RU"/>
        </w:rPr>
        <w:t xml:space="preserve">          - </w:t>
      </w:r>
      <w:r>
        <w:rPr>
          <w:sz w:val="24"/>
          <w:szCs w:val="24"/>
          <w:lang w:val="ru-RU" w:bidi="ar-SA" w:eastAsia="ru-RU"/>
        </w:rPr>
        <w:t xml:space="preserve">Осуществляет подготовку ежеквартальной информации о награжденных государственными наградами и наградами Губернатора Белгородской области, предложениях по награждению/поощрению юбиляров  Губернатором Белгородской области.</w:t>
      </w:r>
      <w:r/>
    </w:p>
    <w:p>
      <w:pPr>
        <w:pStyle w:val="894"/>
        <w:ind w:firstLine="568"/>
        <w:jc w:val="both"/>
        <w:tabs>
          <w:tab w:val="left" w:pos="540" w:leader="none"/>
          <w:tab w:val="right" w:pos="9355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 - </w:t>
      </w:r>
      <w:r>
        <w:rPr>
          <w:sz w:val="24"/>
          <w:szCs w:val="24"/>
        </w:rPr>
        <w:t xml:space="preserve">Формирует резерв управленческих кадров Новооскольского городского округа на замещение вакантных должностей Новооскольского городского округа.</w:t>
      </w:r>
      <w:r/>
    </w:p>
    <w:p>
      <w:pPr>
        <w:pStyle w:val="894"/>
        <w:ind w:firstLine="56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>
        <w:rPr>
          <w:sz w:val="24"/>
          <w:szCs w:val="24"/>
        </w:rPr>
        <w:t xml:space="preserve">Осуществляет подготовку ежеквартального отчета об исполнении муниципального заказа на профессиональную переподготовку и повышение квалификации муниципальных служащих Новооскольского</w:t>
      </w:r>
      <w:r>
        <w:rPr>
          <w:sz w:val="24"/>
          <w:szCs w:val="24"/>
        </w:rPr>
        <w:t xml:space="preserve"> городского округа.</w:t>
      </w:r>
      <w:r>
        <w:rPr>
          <w:sz w:val="24"/>
          <w:szCs w:val="24"/>
        </w:rPr>
      </w:r>
      <w:r/>
    </w:p>
    <w:p>
      <w:pPr>
        <w:pStyle w:val="894"/>
        <w:ind w:firstLine="56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- </w:t>
      </w:r>
      <w:r>
        <w:rPr>
          <w:sz w:val="24"/>
          <w:szCs w:val="24"/>
        </w:rPr>
        <w:t xml:space="preserve">Обеспечивает проведение конкурсов на замещение вакантных должностей муниципальной службы и работы конкурсной комиссии администрации Новооскольского городского округа.</w:t>
      </w:r>
      <w:r/>
    </w:p>
    <w:p>
      <w:pPr>
        <w:pStyle w:val="894"/>
        <w:ind w:firstLine="56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- </w:t>
      </w:r>
      <w:r>
        <w:rPr>
          <w:sz w:val="24"/>
          <w:szCs w:val="24"/>
        </w:rPr>
        <w:t xml:space="preserve">Осуществля</w:t>
      </w:r>
      <w:r>
        <w:rPr>
          <w:sz w:val="24"/>
          <w:szCs w:val="24"/>
        </w:rPr>
        <w:t xml:space="preserve">ет организацию профессионального образования и дополнительного профессионального образования муниципальных служащих Новооскольского городского округа, организация подготовки кадров для муниципальной службы в администрации Новооскольского городского округа.</w:t>
      </w:r>
      <w:r/>
    </w:p>
    <w:p>
      <w:pPr>
        <w:pStyle w:val="894"/>
        <w:ind w:firstLine="56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>
        <w:rPr>
          <w:sz w:val="24"/>
          <w:szCs w:val="24"/>
        </w:rPr>
        <w:t xml:space="preserve">Формирует кадровый резерв на замещение вакантных должностей муниципальной службы Новооскольского городского округа.</w:t>
      </w:r>
      <w:r/>
    </w:p>
    <w:p>
      <w:pPr>
        <w:pStyle w:val="894"/>
        <w:ind w:firstLine="56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>
        <w:rPr>
          <w:sz w:val="24"/>
          <w:szCs w:val="24"/>
        </w:rPr>
        <w:t xml:space="preserve">Осуществляет формирование и ведение реестра муниципальных служащих Новооскольского городского округа, внесение в него необходимых изменений в установленном муниципальным правовым актом порядке.</w:t>
      </w:r>
      <w:r/>
    </w:p>
    <w:p>
      <w:pPr>
        <w:pStyle w:val="894"/>
        <w:ind w:firstLine="56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>
        <w:rPr>
          <w:sz w:val="24"/>
          <w:szCs w:val="24"/>
        </w:rPr>
        <w:t xml:space="preserve">Ведет учет численности муниципальных служащих и работников, замещающим должности, не являющиеся должностями муниципальной службы администрации Новооскольского городского округа.</w:t>
      </w:r>
      <w:r/>
    </w:p>
    <w:p>
      <w:pPr>
        <w:pStyle w:val="894"/>
        <w:ind w:firstLine="56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>
        <w:rPr>
          <w:sz w:val="24"/>
          <w:szCs w:val="24"/>
        </w:rPr>
        <w:t xml:space="preserve">Ведет учет юбилейных дат работников администрации Новооскольского городского округа и выслуги  лет на муниципальной службе.</w:t>
      </w:r>
      <w:r/>
    </w:p>
    <w:p>
      <w:pPr>
        <w:pStyle w:val="894"/>
        <w:ind w:firstLine="56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>
        <w:rPr>
          <w:sz w:val="24"/>
          <w:szCs w:val="24"/>
        </w:rPr>
        <w:t xml:space="preserve">Осуществляет подготовку ежемесячного отчета о вакантных должностях муниципальной службы Новооскольского городского округа и руководителей </w:t>
      </w:r>
      <w:r>
        <w:rPr>
          <w:sz w:val="24"/>
          <w:szCs w:val="24"/>
        </w:rPr>
        <w:t xml:space="preserve">муниципальных учреждений Новоо</w:t>
      </w:r>
      <w:r>
        <w:rPr>
          <w:sz w:val="24"/>
          <w:szCs w:val="24"/>
        </w:rPr>
        <w:t xml:space="preserve">скольского городского округа в </w:t>
      </w:r>
      <w:r>
        <w:rPr>
          <w:sz w:val="24"/>
          <w:szCs w:val="24"/>
        </w:rPr>
        <w:t xml:space="preserve">Администрацию Губернатора</w:t>
      </w:r>
      <w:r>
        <w:rPr>
          <w:sz w:val="24"/>
          <w:szCs w:val="24"/>
        </w:rPr>
        <w:t xml:space="preserve"> Белгородской области.</w:t>
      </w:r>
      <w:r/>
    </w:p>
    <w:p>
      <w:pPr>
        <w:pStyle w:val="894"/>
        <w:ind w:firstLine="56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>
        <w:rPr>
          <w:sz w:val="24"/>
          <w:szCs w:val="24"/>
        </w:rPr>
        <w:t xml:space="preserve">Осуществляет подготовку информации о вакантных должностях администрации Новооскольского городского округа для размещения на Кадровый портал Белгородской области «Заяви о себе!».</w:t>
      </w:r>
      <w:r/>
    </w:p>
    <w:p>
      <w:pPr>
        <w:pStyle w:val="894"/>
        <w:ind w:firstLine="567"/>
        <w:jc w:val="both"/>
        <w:shd w:val="clear" w:fill="FFFFFF" w:color="auto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>
        <w:rPr>
          <w:sz w:val="24"/>
          <w:szCs w:val="24"/>
        </w:rPr>
        <w:t xml:space="preserve">Участвует в работе комиссий и иных коллегиальных органов, в состав которых главный специалист включен в соответствии с  распорядительным актом Новооскольского городского округа или направлен непосредственным руководителем.</w:t>
      </w:r>
      <w:r/>
    </w:p>
    <w:p>
      <w:pPr>
        <w:pStyle w:val="894"/>
        <w:ind w:firstLine="567"/>
        <w:jc w:val="both"/>
        <w:rPr>
          <w:sz w:val="24"/>
          <w:szCs w:val="24"/>
          <w:highlight w:val="none"/>
        </w:rPr>
      </w:pPr>
      <w:r>
        <w:rPr>
          <w:sz w:val="24"/>
          <w:szCs w:val="24"/>
        </w:rPr>
        <w:t xml:space="preserve">- </w:t>
      </w:r>
      <w:r>
        <w:rPr>
          <w:sz w:val="24"/>
          <w:szCs w:val="24"/>
        </w:rPr>
        <w:t xml:space="preserve">Участвует в мероприятиях по формированию культуры бережливого управления в отделе муниципальной службы и кадров администрации Новооскольского городского округа.</w:t>
      </w:r>
      <w:r>
        <w:rPr>
          <w:sz w:val="24"/>
          <w:szCs w:val="24"/>
          <w:highlight w:val="none"/>
        </w:rPr>
      </w:r>
      <w:r/>
    </w:p>
    <w:p>
      <w:pPr>
        <w:pStyle w:val="89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- </w:t>
      </w:r>
      <w:r>
        <w:rPr>
          <w:sz w:val="24"/>
          <w:szCs w:val="24"/>
        </w:rPr>
        <w:t xml:space="preserve">Выполняет иные полномочия в соответствии с федеральным законом от 06 октября           2003 года № 131-ФЗ «Об общих принципах организации местного самоуправления в Российской Федерации», Уставом Новооскольского городского округа.</w:t>
      </w:r>
      <w:r/>
    </w:p>
    <w:p>
      <w:pPr>
        <w:pStyle w:val="894"/>
        <w:jc w:val="both"/>
        <w:tabs>
          <w:tab w:val="left" w:pos="989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>
        <w:rPr>
          <w:sz w:val="24"/>
          <w:szCs w:val="24"/>
        </w:rPr>
        <w:t xml:space="preserve">Права  </w:t>
      </w:r>
      <w:r>
        <w:rPr>
          <w:sz w:val="24"/>
          <w:szCs w:val="24"/>
        </w:rPr>
        <w:t xml:space="preserve">муниципального </w:t>
      </w:r>
      <w:r>
        <w:rPr>
          <w:sz w:val="24"/>
          <w:szCs w:val="24"/>
        </w:rPr>
        <w:t xml:space="preserve">  служащего  и  ответственность за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неисполнение (ненадлежащее) исполнение должностных обязанностей установлены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Федеральным  </w:t>
      </w:r>
      <w:r>
        <w:rPr>
          <w:color w:val="000000"/>
          <w:sz w:val="24"/>
          <w:szCs w:val="24"/>
        </w:rPr>
        <w:fldChar w:fldCharType="begin"/>
      </w:r>
      <w:r>
        <w:rPr>
          <w:color w:val="000000"/>
          <w:sz w:val="24"/>
          <w:szCs w:val="24"/>
        </w:rPr>
        <w:instrText xml:space="preserve">HYPERLINK "consultantplus://offline/ref=CCF5CBA3A95139190F99B62D928F5EE10D4D4ABDC27C84CF9A85E80E016B911B40745AD23DE33B0467BDAEA55BY3f5K"</w:instrText>
      </w:r>
      <w:r>
        <w:rPr>
          <w:color w:val="000000"/>
          <w:sz w:val="24"/>
          <w:szCs w:val="24"/>
        </w:rPr>
        <w:fldChar w:fldCharType="separate"/>
      </w:r>
      <w:r>
        <w:rPr>
          <w:color w:val="000000"/>
          <w:sz w:val="24"/>
          <w:szCs w:val="24"/>
        </w:rPr>
        <w:t xml:space="preserve">законом</w:t>
      </w:r>
      <w:r>
        <w:rPr>
          <w:color w:val="000000"/>
          <w:sz w:val="24"/>
          <w:szCs w:val="24"/>
        </w:rPr>
        <w:fldChar w:fldCharType="end"/>
      </w:r>
      <w:r>
        <w:rPr>
          <w:sz w:val="24"/>
          <w:szCs w:val="24"/>
        </w:rPr>
        <w:t xml:space="preserve">  от  </w:t>
      </w:r>
      <w:r>
        <w:rPr>
          <w:sz w:val="24"/>
          <w:szCs w:val="24"/>
        </w:rPr>
        <w:t xml:space="preserve">02 марта 2007 года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№</w:t>
      </w:r>
      <w:r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25</w:t>
      </w:r>
      <w:r>
        <w:rPr>
          <w:sz w:val="24"/>
          <w:szCs w:val="24"/>
        </w:rPr>
        <w:t xml:space="preserve">-ФЗ </w:t>
      </w:r>
      <w:r>
        <w:rPr>
          <w:sz w:val="24"/>
          <w:szCs w:val="24"/>
        </w:rPr>
        <w:t xml:space="preserve">«О муниципальной службе в Российской Федерации».</w:t>
      </w:r>
      <w:r>
        <w:rPr>
          <w:sz w:val="24"/>
          <w:szCs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Эффективность  профессиональной  служебной  деятельности  по  вакантной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должности оценивается по следующим показателям:</w:t>
      </w:r>
      <w:r/>
    </w:p>
    <w:p>
      <w:pPr>
        <w:pStyle w:val="89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Эффективность и результативность профессиональной служебной деятельности работника определяется по результатам его профессиональной служебной деятельности в порядке, установленном нормативными правовыми актами района;</w:t>
      </w:r>
      <w:r/>
    </w:p>
    <w:p>
      <w:pPr>
        <w:pStyle w:val="89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Показатели результативности для проведения оценки эффективности профессиональной служебной деятельности работника:</w:t>
      </w:r>
      <w:r/>
    </w:p>
    <w:p>
      <w:pPr>
        <w:pStyle w:val="89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–объем выполненных работ (в том числе в рамках проектной деятельности);</w:t>
      </w:r>
      <w:r/>
    </w:p>
    <w:p>
      <w:pPr>
        <w:pStyle w:val="89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– качество выполненных работ;</w:t>
      </w:r>
      <w:r/>
    </w:p>
    <w:p>
      <w:pPr>
        <w:pStyle w:val="89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– своевременность выполнения работ;</w:t>
      </w:r>
      <w:r/>
    </w:p>
    <w:p>
      <w:pPr>
        <w:pStyle w:val="89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– количество нарушений должностной инструкции и административных регламентов;</w:t>
      </w:r>
      <w:r/>
    </w:p>
    <w:p>
      <w:pPr>
        <w:pStyle w:val="894"/>
        <w:ind w:firstLine="709"/>
        <w:jc w:val="both"/>
        <w:rPr>
          <w:rStyle w:val="924"/>
          <w:sz w:val="24"/>
          <w:szCs w:val="24"/>
        </w:rPr>
      </w:pPr>
      <w:r>
        <w:rPr>
          <w:sz w:val="24"/>
          <w:szCs w:val="24"/>
        </w:rPr>
        <w:t xml:space="preserve">– количество обоснованных жалоб.</w:t>
      </w:r>
      <w:r>
        <w:rPr>
          <w:rStyle w:val="924"/>
          <w:sz w:val="24"/>
          <w:szCs w:val="24"/>
        </w:rPr>
      </w:r>
      <w:r/>
    </w:p>
    <w:p>
      <w:pPr>
        <w:pStyle w:val="90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Условия прохождения </w:t>
      </w:r>
      <w:r>
        <w:rPr>
          <w:rFonts w:ascii="Times New Roman" w:hAnsi="Times New Roman"/>
          <w:sz w:val="24"/>
          <w:szCs w:val="24"/>
        </w:rPr>
        <w:t xml:space="preserve">муниципальной</w:t>
      </w:r>
      <w:r>
        <w:rPr>
          <w:rFonts w:ascii="Times New Roman" w:hAnsi="Times New Roman"/>
          <w:sz w:val="24"/>
          <w:szCs w:val="24"/>
        </w:rPr>
        <w:t xml:space="preserve"> службы:</w:t>
      </w:r>
      <w:r/>
    </w:p>
    <w:p>
      <w:pPr>
        <w:pStyle w:val="90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Пятидневная  рабочая  неделя  (выходные  дни  -  суббота и воскресенье,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нерабочие праздничные дни).</w:t>
      </w:r>
      <w:r/>
    </w:p>
    <w:p>
      <w:pPr>
        <w:pStyle w:val="90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Продолжительность  ежегодного  оплачиваемого  отпуска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                                   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90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Оплата  труда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служащего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 «О муниципальной службе в Российской Федерации» 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решением Совета депутатов Новооскольского городского округа от 21 марта 2019 года № 202 «Об оплате труда муниципальных служащих Новооскольского городского округа»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90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Служебные  командировки  по территории Российской Федерации возможны по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мере необходимости.</w:t>
      </w:r>
      <w:r/>
    </w:p>
    <w:p>
      <w:pPr>
        <w:pStyle w:val="903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С  положением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об органе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</w:t>
      </w:r>
      <w:r>
        <w:rPr>
          <w:rFonts w:ascii="Times New Roman" w:hAnsi="Times New Roman"/>
          <w:sz w:val="24"/>
          <w:szCs w:val="24"/>
        </w:rPr>
        <w:t xml:space="preserve">ом</w:t>
      </w:r>
      <w:r>
        <w:rPr>
          <w:rFonts w:ascii="Times New Roman" w:hAnsi="Times New Roman"/>
          <w:sz w:val="24"/>
          <w:szCs w:val="24"/>
        </w:rPr>
        <w:t xml:space="preserve"> проводится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конкурс,   и   с   должностн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инструкцией</w:t>
      </w:r>
      <w:r>
        <w:rPr>
          <w:rFonts w:ascii="Times New Roman" w:hAnsi="Times New Roman"/>
          <w:sz w:val="24"/>
          <w:szCs w:val="24"/>
        </w:rPr>
        <w:t xml:space="preserve">  вакантн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должност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 можно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ознакомиться в</w:t>
      </w:r>
      <w:r>
        <w:rPr>
          <w:rFonts w:ascii="Times New Roman" w:hAnsi="Times New Roman"/>
          <w:sz w:val="24"/>
          <w:szCs w:val="24"/>
        </w:rPr>
        <w:t xml:space="preserve"> отделе муниципальной службы и кадров администрации Новооскольского городского округа.</w:t>
      </w:r>
      <w:r>
        <w:rPr>
          <w:rFonts w:ascii="Times New Roman" w:hAnsi="Times New Roman"/>
        </w:rPr>
      </w:r>
      <w:r/>
    </w:p>
    <w:p>
      <w:pPr>
        <w:pStyle w:val="89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  <w:color w:val="000000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  <w:t xml:space="preserve">Прием заявлений и прилагаемых документов на конкурс начинается </w:t>
      </w:r>
      <w:r>
        <w:rPr>
          <w:rFonts w:ascii="Times New Roman" w:hAnsi="Times New Roman"/>
          <w:b w:val="false"/>
          <w:color w:val="000000"/>
          <w:sz w:val="24"/>
          <w:szCs w:val="24"/>
        </w:rPr>
        <w:t xml:space="preserve">с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01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апреля          2025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года</w:t>
      </w:r>
      <w:r>
        <w:rPr>
          <w:rFonts w:ascii="Times New Roman" w:hAnsi="Times New Roman"/>
          <w:color w:val="000000"/>
          <w:sz w:val="24"/>
          <w:szCs w:val="24"/>
        </w:rPr>
        <w:t xml:space="preserve"> (со дня размещения объявления на официальном сайте органов местного самоуправления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color w:val="000000"/>
          <w:sz w:val="24"/>
          <w:szCs w:val="24"/>
        </w:rPr>
        <w:t xml:space="preserve"> округа в сети Интернет по адресу: </w:t>
      </w:r>
      <w:r>
        <w:rPr>
          <w:rFonts w:ascii="Times New Roman" w:hAnsi="Times New Roman"/>
          <w:color w:val="3366FF"/>
          <w:sz w:val="24"/>
          <w:szCs w:val="24"/>
        </w:rPr>
        <w:t xml:space="preserve">https://novyjoskol-r31.gosweb.gosuslugi.ru/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и заканчивается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21 апреля 2025 года</w:t>
      </w:r>
      <w:r>
        <w:rPr>
          <w:rFonts w:ascii="Times New Roman" w:hAnsi="Times New Roman"/>
          <w:color w:val="000000"/>
          <w:sz w:val="24"/>
          <w:szCs w:val="24"/>
        </w:rPr>
        <w:t xml:space="preserve">.</w:t>
      </w:r>
      <w:r>
        <w:rPr>
          <w:rFonts w:ascii="Times New Roman" w:hAnsi="Times New Roman"/>
          <w:color w:val="000000"/>
        </w:rPr>
      </w:r>
      <w:r/>
    </w:p>
    <w:p>
      <w:pPr>
        <w:pStyle w:val="89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</w:rPr>
      </w:pPr>
      <w:r>
        <w:rPr>
          <w:rFonts w:ascii="Times New Roman" w:hAnsi="Times New Roman"/>
          <w:color w:val="000000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  <w:t xml:space="preserve">Все конкурсные документы доставляются лично в рабочие дни с 8.00 до 17.00  либо почтой (заказным письмом с уведомлением) по адресу: 309640, </w:t>
      </w:r>
      <w:r>
        <w:rPr>
          <w:rFonts w:ascii="Times New Roman" w:hAnsi="Times New Roman"/>
          <w:sz w:val="24"/>
          <w:szCs w:val="24"/>
        </w:rPr>
        <w:t xml:space="preserve">г. Новый Оскол,  ул. 1 Мая, д. 2 в отдел муниципальной службы и кадров администрации Новооскольского муниципального округа.</w:t>
      </w:r>
      <w:r>
        <w:rPr>
          <w:rFonts w:ascii="Times New Roman" w:hAnsi="Times New Roman"/>
        </w:rPr>
      </w:r>
      <w:r/>
    </w:p>
    <w:p>
      <w:pPr>
        <w:pStyle w:val="89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>
        <w:rPr>
          <w:rFonts w:ascii="Times New Roman" w:hAnsi="Times New Roman"/>
          <w:sz w:val="24"/>
          <w:szCs w:val="24"/>
        </w:rPr>
      </w:r>
      <w:r>
        <w:rPr>
          <w:sz w:val="24"/>
          <w:szCs w:val="24"/>
        </w:rPr>
        <w:t xml:space="preserve">При  направлении документов почтой датой их приема будет считаться дата получения  заказного  письма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округа.</w:t>
      </w:r>
      <w:r/>
      <w:r/>
    </w:p>
    <w:p>
      <w:pPr>
        <w:pStyle w:val="89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color w:val="000000"/>
        </w:rPr>
      </w:pPr>
      <w:r>
        <w:rPr>
          <w:sz w:val="24"/>
          <w:szCs w:val="24"/>
        </w:rPr>
      </w:r>
      <w:r>
        <w:rPr>
          <w:color w:val="000000"/>
          <w:sz w:val="24"/>
          <w:szCs w:val="24"/>
        </w:rPr>
        <w:t xml:space="preserve">Заседание комиссии по проведению конкурса для определения победителя конкурса состоится </w:t>
      </w:r>
      <w:r>
        <w:rPr>
          <w:b/>
          <w:color w:val="000000"/>
          <w:sz w:val="24"/>
          <w:szCs w:val="24"/>
        </w:rPr>
        <w:t xml:space="preserve">12 </w:t>
      </w:r>
      <w:r>
        <w:rPr>
          <w:b/>
          <w:color w:val="000000"/>
          <w:sz w:val="24"/>
          <w:szCs w:val="24"/>
        </w:rPr>
        <w:t xml:space="preserve">мая 2025 года в 09.00 часов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</w:rPr>
      </w:r>
      <w:r/>
    </w:p>
    <w:p>
      <w:pPr>
        <w:pStyle w:val="89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</w:rPr>
      </w:pPr>
      <w:r>
        <w:rPr>
          <w:color w:val="000000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Расходы, с</w:t>
      </w:r>
      <w:r>
        <w:rPr>
          <w:rFonts w:ascii="Times New Roman" w:hAnsi="Times New Roman"/>
          <w:sz w:val="24"/>
          <w:szCs w:val="24"/>
        </w:rPr>
        <w:t xml:space="preserve">вязанные с участием в конкурсе (проезд к месту проведения конкурса                      и обратно, наем жилого помещения, проживание, пользование услугами средств связи                      и другие), осуществляются кандидатами за счет собственных средств.</w:t>
      </w:r>
      <w:r>
        <w:rPr>
          <w:rFonts w:ascii="Times New Roman" w:hAnsi="Times New Roman"/>
        </w:rPr>
      </w:r>
      <w:r/>
    </w:p>
    <w:p>
      <w:pPr>
        <w:pStyle w:val="89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Телефон для справок: 4-47-88, 4-83-53.</w:t>
      </w:r>
      <w:r/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3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/>
    </w:p>
    <w:sectPr>
      <w:headerReference w:type="default" r:id="rId9"/>
      <w:headerReference w:type="even" r:id="rId10"/>
      <w:footnotePr/>
      <w:endnotePr/>
      <w:type w:val="continuous"/>
      <w:pgSz w:w="11909" w:h="16834" w:orient="portrait"/>
      <w:pgMar w:top="709" w:right="516" w:bottom="567" w:left="1417" w:header="720" w:footer="720" w:gutter="0"/>
      <w:cols w:num="1" w:sep="0" w:space="6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Gulim">
    <w:panose1 w:val="020B0606020202030204"/>
  </w:font>
  <w:font w:name="Calibri">
    <w:panose1 w:val="020F0502020204030204"/>
  </w:font>
  <w:font w:name="Times New Roman">
    <w:panose1 w:val="02020603050405020304"/>
  </w:font>
  <w:font w:name="Courier New">
    <w:panose1 w:val="020704090202050204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9"/>
      <w:rPr>
        <w:rStyle w:val="900"/>
      </w:rPr>
      <w:framePr w:wrap="around" w:vAnchor="text" w:hAnchor="margin" w:xAlign="center" w:y="1"/>
    </w:pPr>
    <w:r>
      <w:rPr>
        <w:rStyle w:val="900"/>
      </w:rPr>
      <w:fldChar w:fldCharType="begin"/>
    </w:r>
    <w:r>
      <w:rPr>
        <w:rStyle w:val="900"/>
      </w:rPr>
      <w:instrText xml:space="preserve">PAGE  </w:instrText>
    </w:r>
    <w:r>
      <w:rPr>
        <w:rStyle w:val="900"/>
      </w:rPr>
      <w:fldChar w:fldCharType="separate"/>
    </w:r>
    <w:r>
      <w:rPr>
        <w:rStyle w:val="900"/>
      </w:rPr>
      <w:t xml:space="preserve">6</w:t>
    </w:r>
    <w:r>
      <w:rPr>
        <w:rStyle w:val="900"/>
      </w:rPr>
      <w:fldChar w:fldCharType="end"/>
    </w:r>
    <w:r>
      <w:rPr>
        <w:rStyle w:val="900"/>
      </w:rPr>
    </w:r>
    <w:r/>
  </w:p>
  <w:p>
    <w:pPr>
      <w:pStyle w:val="899"/>
      <w:ind w:right="36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9"/>
      <w:rPr>
        <w:rStyle w:val="900"/>
      </w:rPr>
      <w:framePr w:wrap="around" w:vAnchor="text" w:hAnchor="margin" w:xAlign="center" w:y="1"/>
    </w:pPr>
    <w:r>
      <w:rPr>
        <w:rStyle w:val="900"/>
      </w:rPr>
      <w:fldChar w:fldCharType="begin"/>
    </w:r>
    <w:r>
      <w:rPr>
        <w:rStyle w:val="900"/>
      </w:rPr>
      <w:instrText xml:space="preserve">PAGE  </w:instrText>
    </w:r>
    <w:r>
      <w:rPr>
        <w:rStyle w:val="900"/>
      </w:rPr>
      <w:fldChar w:fldCharType="separate"/>
    </w:r>
    <w:r>
      <w:rPr>
        <w:rStyle w:val="900"/>
      </w:rPr>
      <w:t xml:space="preserve">3</w:t>
    </w:r>
    <w:r>
      <w:rPr>
        <w:rStyle w:val="900"/>
      </w:rPr>
      <w:fldChar w:fldCharType="end"/>
    </w:r>
    <w:r>
      <w:rPr>
        <w:rStyle w:val="900"/>
      </w:rPr>
    </w:r>
    <w:r/>
  </w:p>
  <w:p>
    <w:pPr>
      <w:pStyle w:val="899"/>
      <w:ind w:right="36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0"/>
      <w:numFmt w:val="bullet"/>
      <w:isLgl w:val="false"/>
      <w:suff w:val="tab"/>
      <w:lvlText w:val="*"/>
      <w:lvlJc w:val="left"/>
      <w:pPr>
        <w:pStyle w:val="894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pStyle w:val="894"/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pStyle w:val="894"/>
        <w:ind w:left="1440" w:hanging="360"/>
        <w:tabs>
          <w:tab w:val="num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pStyle w:val="894"/>
        <w:ind w:left="2160" w:hanging="360"/>
        <w:tabs>
          <w:tab w:val="num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pStyle w:val="894"/>
        <w:ind w:left="2880" w:hanging="360"/>
        <w:tabs>
          <w:tab w:val="num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pStyle w:val="894"/>
        <w:ind w:left="3600" w:hanging="360"/>
        <w:tabs>
          <w:tab w:val="num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pStyle w:val="894"/>
        <w:ind w:left="4320" w:hanging="360"/>
        <w:tabs>
          <w:tab w:val="num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pStyle w:val="894"/>
        <w:ind w:left="5040" w:hanging="360"/>
        <w:tabs>
          <w:tab w:val="num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pStyle w:val="894"/>
        <w:ind w:left="5760" w:hanging="360"/>
        <w:tabs>
          <w:tab w:val="num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pStyle w:val="894"/>
        <w:ind w:left="6480" w:hanging="360"/>
        <w:tabs>
          <w:tab w:val="num" w:pos="6480" w:leader="none"/>
        </w:tabs>
      </w:pPr>
      <w:rPr>
        <w:rFonts w:ascii="Wingdings" w:hAnsi="Wingdings"/>
        <w:sz w:val="20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pStyle w:val="894"/>
      </w:pPr>
      <w:rPr>
        <w:rFonts w:ascii="Times New Roman" w:hAnsi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0"/>
      <w:numFmt w:val="decimal"/>
      <w:isLgl w:val="false"/>
      <w:suff w:val="tab"/>
      <w:lvlText w:val=""/>
      <w:lvlJc w:val="left"/>
      <w:pPr>
        <w:pStyle w:val="894"/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4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4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4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4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4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4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4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4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4"/>
        <w:ind w:left="6480" w:hanging="180"/>
        <w:tabs>
          <w:tab w:val="num" w:pos="6480" w:leader="none"/>
        </w:tabs>
      </w:p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4"/>
      </w:pPr>
      <w:rPr>
        <w:rFonts w:ascii="Times New Roman" w:hAnsi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0"/>
      <w:numFmt w:val="decimal"/>
      <w:isLgl w:val="false"/>
      <w:suff w:val="tab"/>
      <w:lvlText w:val=""/>
      <w:lvlJc w:val="left"/>
      <w:pPr>
        <w:pStyle w:val="894"/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</w:pPr>
    </w:lvl>
  </w:abstractNum>
  <w:abstractNum w:abstractNumId="5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94"/>
        <w:ind w:left="928" w:hanging="360"/>
        <w:tabs>
          <w:tab w:val="num" w:pos="928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4"/>
        <w:ind w:left="1648" w:hanging="360"/>
        <w:tabs>
          <w:tab w:val="num" w:pos="164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4"/>
        <w:ind w:left="2368" w:hanging="180"/>
        <w:tabs>
          <w:tab w:val="num" w:pos="236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4"/>
        <w:ind w:left="3088" w:hanging="360"/>
        <w:tabs>
          <w:tab w:val="num" w:pos="308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4"/>
        <w:ind w:left="3808" w:hanging="360"/>
        <w:tabs>
          <w:tab w:val="num" w:pos="380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4"/>
        <w:ind w:left="4528" w:hanging="180"/>
        <w:tabs>
          <w:tab w:val="num" w:pos="452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4"/>
        <w:ind w:left="5248" w:hanging="360"/>
        <w:tabs>
          <w:tab w:val="num" w:pos="524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4"/>
        <w:ind w:left="5968" w:hanging="360"/>
        <w:tabs>
          <w:tab w:val="num" w:pos="596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4"/>
        <w:ind w:left="6688" w:hanging="180"/>
        <w:tabs>
          <w:tab w:val="num" w:pos="6688" w:leader="none"/>
        </w:tabs>
      </w:p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4"/>
      </w:pPr>
      <w:rPr>
        <w:rFonts w:ascii="Times New Roman" w:hAnsi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0"/>
      <w:numFmt w:val="decimal"/>
      <w:isLgl w:val="false"/>
      <w:suff w:val="tab"/>
      <w:lvlText w:val=""/>
      <w:lvlJc w:val="left"/>
      <w:pPr>
        <w:pStyle w:val="894"/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</w:p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4"/>
        <w:ind w:left="720" w:hanging="360"/>
        <w:tabs>
          <w:tab w:val="num" w:pos="720" w:leader="none"/>
        </w:tabs>
      </w:pPr>
      <w:rPr>
        <w:rFonts w:ascii="Times New Roman" w:hAnsi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pStyle w:val="894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94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94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94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94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94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94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94"/>
        <w:ind w:left="6480" w:hanging="180"/>
      </w:pPr>
    </w:lvl>
  </w:abstractNum>
  <w:abstractNum w:abstractNumId="8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894"/>
        <w:ind w:left="540" w:hanging="540"/>
        <w:tabs>
          <w:tab w:val="num" w:pos="540" w:leader="none"/>
        </w:tabs>
      </w:pPr>
    </w:lvl>
    <w:lvl w:ilvl="1">
      <w:start w:val="2"/>
      <w:numFmt w:val="decimal"/>
      <w:isLgl w:val="false"/>
      <w:suff w:val="tab"/>
      <w:lvlText w:val="%1.%2."/>
      <w:lvlJc w:val="left"/>
      <w:pPr>
        <w:pStyle w:val="894"/>
        <w:ind w:left="720" w:hanging="720"/>
        <w:tabs>
          <w:tab w:val="num" w:pos="720" w:leader="none"/>
        </w:tabs>
      </w:pPr>
      <w:rPr>
        <w:b/>
      </w:rPr>
    </w:lvl>
    <w:lvl w:ilvl="2">
      <w:start w:val="1"/>
      <w:numFmt w:val="decimal"/>
      <w:isLgl w:val="false"/>
      <w:suff w:val="tab"/>
      <w:lvlText w:val="%1.%2.%3."/>
      <w:lvlJc w:val="left"/>
      <w:pPr>
        <w:pStyle w:val="894"/>
        <w:ind w:left="1080" w:hanging="1080"/>
        <w:tabs>
          <w:tab w:val="num" w:pos="108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94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94"/>
        <w:ind w:left="1440" w:hanging="1440"/>
        <w:tabs>
          <w:tab w:val="num" w:pos="144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94"/>
        <w:ind w:left="1800" w:hanging="1800"/>
        <w:tabs>
          <w:tab w:val="num" w:pos="180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94"/>
        <w:ind w:left="2160" w:hanging="2160"/>
        <w:tabs>
          <w:tab w:val="num" w:pos="216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94"/>
        <w:ind w:left="2160" w:hanging="2160"/>
        <w:tabs>
          <w:tab w:val="num" w:pos="21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94"/>
        <w:ind w:left="2520" w:hanging="2520"/>
        <w:tabs>
          <w:tab w:val="num" w:pos="2520" w:leader="none"/>
        </w:tabs>
      </w:p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4"/>
      </w:pPr>
      <w:rPr>
        <w:rFonts w:ascii="Times New Roman" w:hAnsi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0"/>
      <w:numFmt w:val="decimal"/>
      <w:isLgl w:val="false"/>
      <w:suff w:val="tab"/>
      <w:lvlText w:val=""/>
      <w:lvlJc w:val="left"/>
      <w:pPr>
        <w:pStyle w:val="894"/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</w:pPr>
    </w:lvl>
  </w:abstractNum>
  <w:abstractNum w:abstractNumId="10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94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4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4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4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4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4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4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4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4"/>
        <w:ind w:left="6480" w:hanging="180"/>
        <w:tabs>
          <w:tab w:val="num" w:pos="6480" w:leader="none"/>
        </w:tabs>
      </w:p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4"/>
        <w:ind w:left="780" w:hanging="360"/>
        <w:tabs>
          <w:tab w:val="num" w:pos="780" w:leader="none"/>
        </w:tabs>
      </w:pPr>
      <w:rPr>
        <w:rFonts w:ascii="Times New Roman" w:hAnsi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pStyle w:val="894"/>
        <w:ind w:left="15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94"/>
        <w:ind w:left="222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94"/>
        <w:ind w:left="29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94"/>
        <w:ind w:left="36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94"/>
        <w:ind w:left="438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94"/>
        <w:ind w:left="51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94"/>
        <w:ind w:left="58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94"/>
        <w:ind w:left="6540" w:hanging="180"/>
      </w:pPr>
    </w:lvl>
  </w:abstractNum>
  <w:abstractNum w:abstractNumId="12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pStyle w:val="894"/>
        <w:ind w:left="420" w:hanging="420"/>
        <w:tabs>
          <w:tab w:val="num" w:pos="42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pStyle w:val="894"/>
        <w:ind w:left="720" w:hanging="720"/>
        <w:tabs>
          <w:tab w:val="num" w:pos="72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pStyle w:val="894"/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94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94"/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94"/>
        <w:ind w:left="1440" w:hanging="1440"/>
        <w:tabs>
          <w:tab w:val="num" w:pos="144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94"/>
        <w:ind w:left="1800" w:hanging="1800"/>
        <w:tabs>
          <w:tab w:val="num" w:pos="18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94"/>
        <w:ind w:left="1800" w:hanging="1800"/>
        <w:tabs>
          <w:tab w:val="num" w:pos="18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94"/>
        <w:ind w:left="2160" w:hanging="2160"/>
        <w:tabs>
          <w:tab w:val="num" w:pos="2160" w:leader="none"/>
        </w:tabs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4"/>
        <w:ind w:left="1069" w:hanging="360"/>
        <w:tabs>
          <w:tab w:val="num" w:pos="1069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4"/>
        <w:ind w:left="1789" w:hanging="360"/>
        <w:tabs>
          <w:tab w:val="num" w:pos="1789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4"/>
        <w:ind w:left="2509" w:hanging="180"/>
        <w:tabs>
          <w:tab w:val="num" w:pos="2509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4"/>
        <w:ind w:left="3229" w:hanging="360"/>
        <w:tabs>
          <w:tab w:val="num" w:pos="322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4"/>
        <w:ind w:left="3949" w:hanging="360"/>
        <w:tabs>
          <w:tab w:val="num" w:pos="394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4"/>
        <w:ind w:left="4669" w:hanging="180"/>
        <w:tabs>
          <w:tab w:val="num" w:pos="466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4"/>
        <w:ind w:left="5389" w:hanging="360"/>
        <w:tabs>
          <w:tab w:val="num" w:pos="538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4"/>
        <w:ind w:left="6109" w:hanging="360"/>
        <w:tabs>
          <w:tab w:val="num" w:pos="610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4"/>
        <w:ind w:left="6829" w:hanging="180"/>
        <w:tabs>
          <w:tab w:val="num" w:pos="6829" w:leader="none"/>
        </w:tabs>
      </w:p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4"/>
        <w:ind w:left="720" w:hanging="360"/>
        <w:tabs>
          <w:tab w:val="num" w:pos="72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4"/>
      </w:pPr>
      <w:rPr>
        <w:rFonts w:ascii="Times New Roman" w:hAnsi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0"/>
      <w:numFmt w:val="decimal"/>
      <w:isLgl w:val="false"/>
      <w:suff w:val="tab"/>
      <w:lvlText w:val=""/>
      <w:lvlJc w:val="left"/>
      <w:pPr>
        <w:pStyle w:val="894"/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</w:p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pStyle w:val="894"/>
      </w:pPr>
      <w:rPr>
        <w:rFonts w:ascii="Times New Roman" w:hAnsi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0"/>
      <w:numFmt w:val="decimal"/>
      <w:isLgl w:val="false"/>
      <w:suff w:val="tab"/>
      <w:lvlText w:val=""/>
      <w:lvlJc w:val="left"/>
      <w:pPr>
        <w:pStyle w:val="894"/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</w:pPr>
    </w:lvl>
  </w:abstractNum>
  <w:abstractNum w:abstractNumId="17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94"/>
        <w:ind w:left="1070" w:hanging="360"/>
        <w:tabs>
          <w:tab w:val="num" w:pos="107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4"/>
        <w:ind w:left="1790" w:hanging="360"/>
        <w:tabs>
          <w:tab w:val="num" w:pos="179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4"/>
        <w:ind w:left="2510" w:hanging="180"/>
        <w:tabs>
          <w:tab w:val="num" w:pos="251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4"/>
        <w:ind w:left="3230" w:hanging="360"/>
        <w:tabs>
          <w:tab w:val="num" w:pos="323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4"/>
        <w:ind w:left="3950" w:hanging="360"/>
        <w:tabs>
          <w:tab w:val="num" w:pos="395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4"/>
        <w:ind w:left="4670" w:hanging="180"/>
        <w:tabs>
          <w:tab w:val="num" w:pos="467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4"/>
        <w:ind w:left="5390" w:hanging="360"/>
        <w:tabs>
          <w:tab w:val="num" w:pos="539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4"/>
        <w:ind w:left="6110" w:hanging="360"/>
        <w:tabs>
          <w:tab w:val="num" w:pos="611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4"/>
        <w:ind w:left="6830" w:hanging="180"/>
        <w:tabs>
          <w:tab w:val="num" w:pos="6830" w:leader="none"/>
        </w:tabs>
      </w:pPr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4"/>
        <w:ind w:left="1070" w:hanging="360"/>
        <w:tabs>
          <w:tab w:val="num" w:pos="107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</w:abstractNum>
  <w:abstractNum w:abstractNumId="19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4"/>
      </w:pPr>
      <w:rPr>
        <w:rFonts w:ascii="Times New Roman" w:hAnsi="Times New Roman" w:eastAsia="Times New Roman"/>
        <w:b w:val="false"/>
        <w:i w:val="false"/>
        <w:smallCaps w:val="false"/>
        <w:strike w:val="false"/>
        <w:color w:val="000000"/>
        <w:spacing w:val="0"/>
        <w:position w:val="0"/>
        <w:sz w:val="17"/>
        <w:u w:val="none"/>
      </w:rPr>
    </w:lvl>
    <w:lvl w:ilvl="1">
      <w:start w:val="0"/>
      <w:numFmt w:val="decimal"/>
      <w:isLgl w:val="false"/>
      <w:suff w:val="tab"/>
      <w:lvlText w:val=""/>
      <w:lvlJc w:val="left"/>
      <w:pPr>
        <w:pStyle w:val="894"/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</w:pPr>
    </w:lvl>
  </w:abstractNum>
  <w:abstractNum w:abstractNumId="20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4"/>
      </w:pPr>
      <w:rPr>
        <w:rFonts w:ascii="Times New Roman" w:hAnsi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0"/>
      <w:numFmt w:val="decimal"/>
      <w:isLgl w:val="false"/>
      <w:suff w:val="tab"/>
      <w:lvlText w:val=""/>
      <w:lvlJc w:val="left"/>
      <w:pPr>
        <w:pStyle w:val="894"/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</w:pPr>
    </w:lvl>
  </w:abstractNum>
  <w:num w:numId="1">
    <w:abstractNumId w:val="5"/>
  </w:num>
  <w:num w:numId="2">
    <w:abstractNumId w:val="17"/>
  </w:num>
  <w:num w:numId="3">
    <w:abstractNumId w:val="18"/>
  </w:num>
  <w:num w:numId="4">
    <w:abstractNumId w:val="1"/>
  </w:num>
  <w:num w:numId="5">
    <w:abstractNumId w:val="13"/>
  </w:num>
  <w:num w:numId="6">
    <w:abstractNumId w:val="3"/>
  </w:num>
  <w:num w:numId="7">
    <w:abstractNumId w:val="14"/>
  </w:num>
  <w:num w:numId="8">
    <w:abstractNumId w:val="8"/>
  </w:num>
  <w:num w:numId="9">
    <w:abstractNumId w:val="12"/>
  </w:num>
  <w:num w:numId="1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11"/>
  </w:num>
  <w:num w:numId="15">
    <w:abstractNumId w:val="7"/>
  </w:num>
  <w:num w:numId="16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94"/>
        </w:pPr>
        <w:rPr>
          <w:rFonts w:ascii="Times New Roman" w:hAnsi="Times New Roman"/>
        </w:rPr>
      </w:lvl>
    </w:lvlOverride>
  </w:num>
  <w:num w:numId="17">
    <w:abstractNumId w:val="19"/>
  </w:num>
  <w:num w:numId="18">
    <w:abstractNumId w:val="15"/>
  </w:num>
  <w:num w:numId="19">
    <w:abstractNumId w:val="20"/>
  </w:num>
  <w:num w:numId="20">
    <w:abstractNumId w:val="6"/>
  </w:num>
  <w:num w:numId="21">
    <w:abstractNumId w:val="9"/>
  </w:num>
  <w:num w:numId="22">
    <w:abstractNumId w:val="2"/>
  </w:num>
  <w:num w:numId="23">
    <w:abstractNumId w:val="4"/>
  </w:num>
  <w:num w:numId="24">
    <w:abstractNumId w:val="16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20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bidi="ar-SA" w:eastAsia="zh-C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17">
    <w:name w:val="Heading 1"/>
    <w:link w:val="718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718">
    <w:name w:val="Heading 1 Char"/>
    <w:link w:val="717"/>
    <w:uiPriority w:val="9"/>
    <w:rPr>
      <w:rFonts w:ascii="Arial" w:hAnsi="Arial" w:cs="Arial" w:eastAsia="Arial"/>
      <w:sz w:val="40"/>
      <w:szCs w:val="40"/>
    </w:rPr>
  </w:style>
  <w:style w:type="paragraph" w:styleId="719">
    <w:name w:val="Heading 2"/>
    <w:link w:val="720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720">
    <w:name w:val="Heading 2 Char"/>
    <w:link w:val="719"/>
    <w:uiPriority w:val="9"/>
    <w:rPr>
      <w:rFonts w:ascii="Arial" w:hAnsi="Arial" w:cs="Arial" w:eastAsia="Arial"/>
      <w:sz w:val="34"/>
    </w:rPr>
  </w:style>
  <w:style w:type="paragraph" w:styleId="721">
    <w:name w:val="Heading 3"/>
    <w:link w:val="722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722">
    <w:name w:val="Heading 3 Char"/>
    <w:link w:val="721"/>
    <w:uiPriority w:val="9"/>
    <w:rPr>
      <w:rFonts w:ascii="Arial" w:hAnsi="Arial" w:cs="Arial" w:eastAsia="Arial"/>
      <w:sz w:val="30"/>
      <w:szCs w:val="30"/>
    </w:rPr>
  </w:style>
  <w:style w:type="paragraph" w:styleId="723">
    <w:name w:val="Heading 4"/>
    <w:link w:val="724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724">
    <w:name w:val="Heading 4 Char"/>
    <w:link w:val="723"/>
    <w:uiPriority w:val="9"/>
    <w:rPr>
      <w:rFonts w:ascii="Arial" w:hAnsi="Arial" w:cs="Arial" w:eastAsia="Arial"/>
      <w:b/>
      <w:bCs/>
      <w:sz w:val="26"/>
      <w:szCs w:val="26"/>
    </w:rPr>
  </w:style>
  <w:style w:type="paragraph" w:styleId="725">
    <w:name w:val="Heading 5"/>
    <w:link w:val="726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726">
    <w:name w:val="Heading 5 Char"/>
    <w:link w:val="725"/>
    <w:uiPriority w:val="9"/>
    <w:rPr>
      <w:rFonts w:ascii="Arial" w:hAnsi="Arial" w:cs="Arial" w:eastAsia="Arial"/>
      <w:b/>
      <w:bCs/>
      <w:sz w:val="24"/>
      <w:szCs w:val="24"/>
    </w:rPr>
  </w:style>
  <w:style w:type="paragraph" w:styleId="727">
    <w:name w:val="Heading 6"/>
    <w:link w:val="728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728">
    <w:name w:val="Heading 6 Char"/>
    <w:link w:val="727"/>
    <w:uiPriority w:val="9"/>
    <w:rPr>
      <w:rFonts w:ascii="Arial" w:hAnsi="Arial" w:cs="Arial" w:eastAsia="Arial"/>
      <w:b/>
      <w:bCs/>
      <w:sz w:val="22"/>
      <w:szCs w:val="22"/>
    </w:rPr>
  </w:style>
  <w:style w:type="paragraph" w:styleId="729">
    <w:name w:val="Heading 7"/>
    <w:link w:val="730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730">
    <w:name w:val="Heading 7 Char"/>
    <w:link w:val="729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731">
    <w:name w:val="Heading 8"/>
    <w:link w:val="732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732">
    <w:name w:val="Heading 8 Char"/>
    <w:link w:val="731"/>
    <w:uiPriority w:val="9"/>
    <w:rPr>
      <w:rFonts w:ascii="Arial" w:hAnsi="Arial" w:cs="Arial" w:eastAsia="Arial"/>
      <w:i/>
      <w:iCs/>
      <w:sz w:val="22"/>
      <w:szCs w:val="22"/>
    </w:rPr>
  </w:style>
  <w:style w:type="paragraph" w:styleId="733">
    <w:name w:val="Heading 9"/>
    <w:link w:val="734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734">
    <w:name w:val="Heading 9 Char"/>
    <w:link w:val="733"/>
    <w:uiPriority w:val="9"/>
    <w:rPr>
      <w:rFonts w:ascii="Arial" w:hAnsi="Arial" w:cs="Arial" w:eastAsia="Arial"/>
      <w:i/>
      <w:iCs/>
      <w:sz w:val="21"/>
      <w:szCs w:val="21"/>
    </w:rPr>
  </w:style>
  <w:style w:type="paragraph" w:styleId="735">
    <w:name w:val="List Paragraph"/>
    <w:qFormat/>
    <w:uiPriority w:val="34"/>
    <w:pPr>
      <w:contextualSpacing w:val="true"/>
      <w:ind w:left="720"/>
    </w:pPr>
  </w:style>
  <w:style w:type="paragraph" w:styleId="736">
    <w:name w:val="Title"/>
    <w:link w:val="737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737">
    <w:name w:val="Title Char"/>
    <w:link w:val="736"/>
    <w:uiPriority w:val="10"/>
    <w:rPr>
      <w:sz w:val="48"/>
      <w:szCs w:val="48"/>
    </w:rPr>
  </w:style>
  <w:style w:type="paragraph" w:styleId="738">
    <w:name w:val="Subtitle"/>
    <w:link w:val="739"/>
    <w:qFormat/>
    <w:uiPriority w:val="11"/>
    <w:rPr>
      <w:sz w:val="24"/>
      <w:szCs w:val="24"/>
    </w:rPr>
    <w:pPr>
      <w:spacing w:after="200" w:before="200"/>
    </w:pPr>
  </w:style>
  <w:style w:type="character" w:styleId="739">
    <w:name w:val="Subtitle Char"/>
    <w:link w:val="738"/>
    <w:uiPriority w:val="11"/>
    <w:rPr>
      <w:sz w:val="24"/>
      <w:szCs w:val="24"/>
    </w:rPr>
  </w:style>
  <w:style w:type="paragraph" w:styleId="740">
    <w:name w:val="Quote"/>
    <w:link w:val="741"/>
    <w:qFormat/>
    <w:uiPriority w:val="29"/>
    <w:rPr>
      <w:i/>
    </w:rPr>
    <w:pPr>
      <w:ind w:left="720" w:right="720"/>
    </w:pPr>
  </w:style>
  <w:style w:type="character" w:styleId="741">
    <w:name w:val="Quote Char"/>
    <w:link w:val="740"/>
    <w:uiPriority w:val="29"/>
    <w:rPr>
      <w:i/>
    </w:rPr>
  </w:style>
  <w:style w:type="paragraph" w:styleId="742">
    <w:name w:val="Intense Quote"/>
    <w:link w:val="743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743">
    <w:name w:val="Intense Quote Char"/>
    <w:link w:val="742"/>
    <w:uiPriority w:val="30"/>
    <w:rPr>
      <w:i/>
    </w:rPr>
  </w:style>
  <w:style w:type="paragraph" w:styleId="744">
    <w:name w:val="Header"/>
    <w:link w:val="745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45">
    <w:name w:val="Header Char"/>
    <w:link w:val="744"/>
    <w:uiPriority w:val="99"/>
  </w:style>
  <w:style w:type="paragraph" w:styleId="746">
    <w:name w:val="Footer"/>
    <w:link w:val="749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47">
    <w:name w:val="Footer Char"/>
    <w:link w:val="746"/>
    <w:uiPriority w:val="99"/>
  </w:style>
  <w:style w:type="paragraph" w:styleId="748">
    <w:name w:val="Caption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749">
    <w:name w:val="Caption Char"/>
    <w:basedOn w:val="748"/>
    <w:link w:val="746"/>
    <w:uiPriority w:val="99"/>
  </w:style>
  <w:style w:type="table" w:styleId="750">
    <w:name w:val="Table Grid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51">
    <w:name w:val="Table Grid Light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52">
    <w:name w:val="Plain Table 1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3">
    <w:name w:val="Plain Table 2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4">
    <w:name w:val="Plain Table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55">
    <w:name w:val="Plain Table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>
    <w:name w:val="Plain Table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757">
    <w:name w:val="Grid Table 1 Light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Grid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Grid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Grid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Grid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Grid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Grid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Grid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765">
    <w:name w:val="Grid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766">
    <w:name w:val="Grid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67">
    <w:name w:val="Grid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68">
    <w:name w:val="Grid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69">
    <w:name w:val="Grid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70">
    <w:name w:val="Grid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71">
    <w:name w:val="Grid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2">
    <w:name w:val="Grid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3">
    <w:name w:val="Grid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4">
    <w:name w:val="Grid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5">
    <w:name w:val="Grid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6">
    <w:name w:val="Grid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7">
    <w:name w:val="Grid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8">
    <w:name w:val="Grid Table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79">
    <w:name w:val="Grid Table 4 - Accent 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FillTint="EA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80">
    <w:name w:val="Grid Table 4 - Accent 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81">
    <w:name w:val="Grid Table 4 - Accent 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FE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82">
    <w:name w:val="Grid Table 4 - Accent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83">
    <w:name w:val="Grid Table 4 - Accent 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784">
    <w:name w:val="Grid Table 4 - Accent 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785">
    <w:name w:val="Grid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text1" w:themeFillTint="40" w:themeColor="text1" w:themeTint="40"/>
    </w:tblPr>
    <w:tblStylePr w:type="band1Horz">
      <w:tcPr>
        <w:shd w:val="clear" w:color="FFFFFF" w:themeFill="text1" w:themeFillTint="75" w:themeColor="text1" w:themeTint="75"/>
      </w:tcPr>
    </w:tblStylePr>
    <w:tblStylePr w:type="band1Vert">
      <w:tcPr>
        <w:shd w:val="clear" w:color="FFFFFF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top w:val="single" w:color="000000" w:sz="4" w:space="0" w:themeColor="light1"/>
        </w:tcBorders>
      </w:tcPr>
    </w:tblStylePr>
  </w:style>
  <w:style w:type="table" w:styleId="786">
    <w:name w:val="Grid Table 5 Dark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1" w:themeFillTint="34" w:themeColor="accent1" w:themeTint="34"/>
    </w:tblPr>
    <w:tblStylePr w:type="band1Horz">
      <w:tcPr>
        <w:shd w:val="clear" w:color="FFFFFF" w:themeFill="accent1" w:themeFillTint="75" w:themeColor="accent1" w:themeTint="75"/>
      </w:tcPr>
    </w:tblStylePr>
    <w:tblStylePr w:type="band1Vert">
      <w:tcPr>
        <w:shd w:val="clear" w:color="FFFFFF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1" w:themeColor="accent1"/>
        <w:tcBorders>
          <w:top w:val="single" w:color="000000" w:sz="4" w:space="0" w:themeColor="light1"/>
        </w:tcBorders>
      </w:tcPr>
    </w:tblStylePr>
  </w:style>
  <w:style w:type="table" w:styleId="787">
    <w:name w:val="Grid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2" w:themeFillTint="32" w:themeColor="accent2" w:themeTint="32"/>
    </w:tblPr>
    <w:tblStylePr w:type="band1Horz">
      <w:tcPr>
        <w:shd w:val="clear" w:color="FFFFFF" w:themeFill="accent2" w:themeFillTint="75" w:themeColor="accent2" w:themeTint="75"/>
      </w:tcPr>
    </w:tblStylePr>
    <w:tblStylePr w:type="band1Vert">
      <w:tcPr>
        <w:shd w:val="clear" w:color="FFFFFF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2" w:themeColor="accent2"/>
        <w:tcBorders>
          <w:top w:val="single" w:color="000000" w:sz="4" w:space="0" w:themeColor="light1"/>
        </w:tcBorders>
      </w:tcPr>
    </w:tblStylePr>
  </w:style>
  <w:style w:type="table" w:styleId="788">
    <w:name w:val="Grid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3" w:themeFillTint="34" w:themeColor="accent3" w:themeTint="34"/>
    </w:tblPr>
    <w:tblStylePr w:type="band1Horz">
      <w:tcPr>
        <w:shd w:val="clear" w:color="FFFFFF" w:themeFill="accent3" w:themeFillTint="75" w:themeColor="accent3" w:themeTint="75"/>
      </w:tcPr>
    </w:tblStylePr>
    <w:tblStylePr w:type="band1Vert">
      <w:tcPr>
        <w:shd w:val="clear" w:color="FFFFFF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3" w:themeColor="accent3"/>
        <w:tcBorders>
          <w:top w:val="single" w:color="000000" w:sz="4" w:space="0" w:themeColor="light1"/>
        </w:tcBorders>
      </w:tcPr>
    </w:tblStylePr>
  </w:style>
  <w:style w:type="table" w:styleId="789">
    <w:name w:val="Grid Table 5 Dark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4" w:themeFillTint="34" w:themeColor="accent4" w:themeTint="34"/>
    </w:tblPr>
    <w:tblStylePr w:type="band1Horz">
      <w:tcPr>
        <w:shd w:val="clear" w:color="FFFFFF" w:themeFill="accent4" w:themeFillTint="75" w:themeColor="accent4" w:themeTint="75"/>
      </w:tcPr>
    </w:tblStylePr>
    <w:tblStylePr w:type="band1Vert">
      <w:tcPr>
        <w:shd w:val="clear" w:color="FFFFFF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4" w:themeColor="accent4"/>
        <w:tcBorders>
          <w:top w:val="single" w:color="000000" w:sz="4" w:space="0" w:themeColor="light1"/>
        </w:tcBorders>
      </w:tcPr>
    </w:tblStylePr>
  </w:style>
  <w:style w:type="table" w:styleId="790">
    <w:name w:val="Grid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5" w:themeFillTint="34" w:themeColor="accent5" w:themeTint="34"/>
    </w:tblPr>
    <w:tblStylePr w:type="band1Horz">
      <w:tcPr>
        <w:shd w:val="clear" w:color="FFFFFF" w:themeFill="accent5" w:themeFillTint="75" w:themeColor="accent5" w:themeTint="75"/>
      </w:tcPr>
    </w:tblStylePr>
    <w:tblStylePr w:type="band1Vert">
      <w:tcPr>
        <w:shd w:val="clear" w:color="FFFFFF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top w:val="single" w:color="000000" w:sz="4" w:space="0" w:themeColor="light1"/>
        </w:tcBorders>
      </w:tcPr>
    </w:tblStylePr>
  </w:style>
  <w:style w:type="table" w:styleId="791">
    <w:name w:val="Grid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6" w:themeFillTint="34" w:themeColor="accent6" w:themeTint="34"/>
    </w:tblPr>
    <w:tblStylePr w:type="band1Horz">
      <w:tcPr>
        <w:shd w:val="clear" w:color="FFFFFF" w:themeFill="accent6" w:themeFillTint="75" w:themeColor="accent6" w:themeTint="75"/>
      </w:tcPr>
    </w:tblStylePr>
    <w:tblStylePr w:type="band1Vert">
      <w:tcPr>
        <w:shd w:val="clear" w:color="FFFFFF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top w:val="single" w:color="000000" w:sz="4" w:space="0" w:themeColor="light1"/>
        </w:tcBorders>
      </w:tcPr>
    </w:tblStylePr>
  </w:style>
  <w:style w:type="table" w:styleId="792">
    <w:name w:val="Grid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Fill="text1" w:themeFillTint="34" w:themeColor="text1" w:themeTint="34"/>
      </w:tcPr>
    </w:tblStylePr>
    <w:tblStylePr w:type="band1Vert">
      <w:tcPr>
        <w:shd w:val="clear" w:color="FFFFFF" w:themeFill="text1" w:themeFillTint="34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93">
    <w:name w:val="Grid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94">
    <w:name w:val="Grid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95">
    <w:name w:val="Grid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96">
    <w:name w:val="Grid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97">
    <w:name w:val="Grid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8">
    <w:name w:val="Grid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9">
    <w:name w:val="Grid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800">
    <w:name w:val="Grid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801">
    <w:name w:val="Grid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802">
    <w:name w:val="Grid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803">
    <w:name w:val="Grid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804">
    <w:name w:val="Grid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805">
    <w:name w:val="Grid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806">
    <w:name w:val="List Table 1 Light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807">
    <w:name w:val="List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808">
    <w:name w:val="List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809">
    <w:name w:val="List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810">
    <w:name w:val="List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811">
    <w:name w:val="List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812">
    <w:name w:val="List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813">
    <w:name w:val="List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814">
    <w:name w:val="List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815">
    <w:name w:val="List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816">
    <w:name w:val="List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817">
    <w:name w:val="List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818">
    <w:name w:val="List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819">
    <w:name w:val="List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820">
    <w:name w:val="List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List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>
    <w:name w:val="List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>
    <w:name w:val="List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>
    <w:name w:val="List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>
    <w:name w:val="List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>
    <w:name w:val="List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7">
    <w:name w:val="List Table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8">
    <w:name w:val="List Table 4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9">
    <w:name w:val="List Table 4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0">
    <w:name w:val="List Table 4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1">
    <w:name w:val="List Table 4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2">
    <w:name w:val="List Table 4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3">
    <w:name w:val="List Table 4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4">
    <w:name w:val="List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Fill="text1" w:themeFillTint="80" w:themeColor="text1" w:themeTint="80"/>
    </w:tblPr>
    <w:tblStylePr w:type="band1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text1" w:themeFillTint="80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text1" w:themeFillTint="80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5">
    <w:name w:val="List Table 5 Dark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Fill="accent1" w:themeColor="accent1"/>
    </w:tblPr>
    <w:tblStylePr w:type="band1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1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1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6">
    <w:name w:val="List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Fill="accent2" w:themeFillTint="97" w:themeColor="accent2" w:themeTint="97"/>
    </w:tblPr>
    <w:tblStylePr w:type="band1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2" w:themeFillTint="97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2" w:themeFillTint="97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7">
    <w:name w:val="List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Fill="accent3" w:themeFillTint="98" w:themeColor="accent3" w:themeTint="98"/>
    </w:tblPr>
    <w:tblStylePr w:type="band1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3" w:themeFillTint="98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3" w:themeFillTint="98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8">
    <w:name w:val="List Table 5 Dark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Fill="accent4" w:themeFillTint="9A" w:themeColor="accent4" w:themeTint="9A"/>
    </w:tblPr>
    <w:tblStylePr w:type="band1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4" w:themeFillTint="9A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4" w:themeFillTint="9A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9">
    <w:name w:val="List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Fill="accent5" w:themeFillTint="9A" w:themeColor="accent5" w:themeTint="9A"/>
    </w:tblPr>
    <w:tblStylePr w:type="band1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5" w:themeFillTint="9A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5" w:themeFillTint="9A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0">
    <w:name w:val="List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Fill="accent6" w:themeFillTint="98" w:themeColor="accent6" w:themeTint="98"/>
    </w:tblPr>
    <w:tblStylePr w:type="band1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6" w:themeFillTint="98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6" w:themeFillTint="98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1">
    <w:name w:val="List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842">
    <w:name w:val="List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843">
    <w:name w:val="List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844">
    <w:name w:val="List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845">
    <w:name w:val="List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846">
    <w:name w:val="List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847">
    <w:name w:val="List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848">
    <w:name w:val="List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49">
    <w:name w:val="List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50">
    <w:name w:val="List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51">
    <w:name w:val="List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52">
    <w:name w:val="List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53">
    <w:name w:val="List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54">
    <w:name w:val="List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55">
    <w:name w:val="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56">
    <w:name w:val="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57">
    <w:name w:val="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58">
    <w:name w:val="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59">
    <w:name w:val="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60">
    <w:name w:val="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61">
    <w:name w:val="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62">
    <w:name w:val="Bordered &amp; 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63">
    <w:name w:val="Bordered &amp; 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64">
    <w:name w:val="Bordered &amp; 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65">
    <w:name w:val="Bordered &amp; 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66">
    <w:name w:val="Bordered &amp; 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67">
    <w:name w:val="Bordered &amp; 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68">
    <w:name w:val="Bordered &amp; 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69">
    <w:name w:val="Bordered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870">
    <w:name w:val="Bordered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871">
    <w:name w:val="Bordered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872">
    <w:name w:val="Bordered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873">
    <w:name w:val="Bordered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874">
    <w:name w:val="Bordered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875">
    <w:name w:val="Bordered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876">
    <w:name w:val="Hyperlink"/>
    <w:uiPriority w:val="99"/>
    <w:unhideWhenUsed/>
    <w:rPr>
      <w:color w:val="0000FF" w:themeColor="hyperlink"/>
      <w:u w:val="single"/>
    </w:rPr>
  </w:style>
  <w:style w:type="paragraph" w:styleId="877">
    <w:name w:val="footnote text"/>
    <w:link w:val="878"/>
    <w:uiPriority w:val="99"/>
    <w:semiHidden/>
    <w:unhideWhenUsed/>
    <w:rPr>
      <w:sz w:val="18"/>
    </w:rPr>
    <w:pPr>
      <w:spacing w:lineRule="auto" w:line="240" w:after="40"/>
    </w:pPr>
  </w:style>
  <w:style w:type="character" w:styleId="878">
    <w:name w:val="Footnote Text Char"/>
    <w:link w:val="877"/>
    <w:uiPriority w:val="99"/>
    <w:rPr>
      <w:sz w:val="18"/>
    </w:rPr>
  </w:style>
  <w:style w:type="character" w:styleId="879">
    <w:name w:val="footnote reference"/>
    <w:uiPriority w:val="99"/>
    <w:unhideWhenUsed/>
    <w:rPr>
      <w:vertAlign w:val="superscript"/>
    </w:rPr>
  </w:style>
  <w:style w:type="paragraph" w:styleId="880">
    <w:name w:val="endnote text"/>
    <w:link w:val="881"/>
    <w:uiPriority w:val="99"/>
    <w:semiHidden/>
    <w:unhideWhenUsed/>
    <w:rPr>
      <w:sz w:val="20"/>
    </w:rPr>
    <w:pPr>
      <w:spacing w:lineRule="auto" w:line="240" w:after="0"/>
    </w:pPr>
  </w:style>
  <w:style w:type="character" w:styleId="881">
    <w:name w:val="Endnote Text Char"/>
    <w:link w:val="880"/>
    <w:uiPriority w:val="99"/>
    <w:rPr>
      <w:sz w:val="20"/>
    </w:rPr>
  </w:style>
  <w:style w:type="character" w:styleId="882">
    <w:name w:val="endnote reference"/>
    <w:uiPriority w:val="99"/>
    <w:semiHidden/>
    <w:unhideWhenUsed/>
    <w:rPr>
      <w:vertAlign w:val="superscript"/>
    </w:rPr>
  </w:style>
  <w:style w:type="paragraph" w:styleId="883">
    <w:name w:val="toc 1"/>
    <w:uiPriority w:val="39"/>
    <w:unhideWhenUsed/>
    <w:pPr>
      <w:ind w:left="0" w:right="0" w:firstLine="0"/>
      <w:spacing w:after="57"/>
    </w:pPr>
  </w:style>
  <w:style w:type="paragraph" w:styleId="884">
    <w:name w:val="toc 2"/>
    <w:uiPriority w:val="39"/>
    <w:unhideWhenUsed/>
    <w:pPr>
      <w:ind w:left="283" w:right="0" w:firstLine="0"/>
      <w:spacing w:after="57"/>
    </w:pPr>
  </w:style>
  <w:style w:type="paragraph" w:styleId="885">
    <w:name w:val="toc 3"/>
    <w:uiPriority w:val="39"/>
    <w:unhideWhenUsed/>
    <w:pPr>
      <w:ind w:left="567" w:right="0" w:firstLine="0"/>
      <w:spacing w:after="57"/>
    </w:pPr>
  </w:style>
  <w:style w:type="paragraph" w:styleId="886">
    <w:name w:val="toc 4"/>
    <w:uiPriority w:val="39"/>
    <w:unhideWhenUsed/>
    <w:pPr>
      <w:ind w:left="850" w:right="0" w:firstLine="0"/>
      <w:spacing w:after="57"/>
    </w:pPr>
  </w:style>
  <w:style w:type="paragraph" w:styleId="887">
    <w:name w:val="toc 5"/>
    <w:uiPriority w:val="39"/>
    <w:unhideWhenUsed/>
    <w:pPr>
      <w:ind w:left="1134" w:right="0" w:firstLine="0"/>
      <w:spacing w:after="57"/>
    </w:pPr>
  </w:style>
  <w:style w:type="paragraph" w:styleId="888">
    <w:name w:val="toc 6"/>
    <w:uiPriority w:val="39"/>
    <w:unhideWhenUsed/>
    <w:pPr>
      <w:ind w:left="1417" w:right="0" w:firstLine="0"/>
      <w:spacing w:after="57"/>
    </w:pPr>
  </w:style>
  <w:style w:type="paragraph" w:styleId="889">
    <w:name w:val="toc 7"/>
    <w:uiPriority w:val="39"/>
    <w:unhideWhenUsed/>
    <w:pPr>
      <w:ind w:left="1701" w:right="0" w:firstLine="0"/>
      <w:spacing w:after="57"/>
    </w:pPr>
  </w:style>
  <w:style w:type="paragraph" w:styleId="890">
    <w:name w:val="toc 8"/>
    <w:uiPriority w:val="39"/>
    <w:unhideWhenUsed/>
    <w:pPr>
      <w:ind w:left="1984" w:right="0" w:firstLine="0"/>
      <w:spacing w:after="57"/>
    </w:pPr>
  </w:style>
  <w:style w:type="paragraph" w:styleId="891">
    <w:name w:val="toc 9"/>
    <w:uiPriority w:val="39"/>
    <w:unhideWhenUsed/>
    <w:pPr>
      <w:ind w:left="2268" w:right="0" w:firstLine="0"/>
      <w:spacing w:after="57"/>
    </w:pPr>
  </w:style>
  <w:style w:type="paragraph" w:styleId="892">
    <w:name w:val="TOC Heading"/>
    <w:uiPriority w:val="39"/>
    <w:unhideWhenUsed/>
  </w:style>
  <w:style w:type="paragraph" w:styleId="893">
    <w:name w:val="table of figures"/>
    <w:uiPriority w:val="99"/>
    <w:unhideWhenUsed/>
    <w:pPr>
      <w:spacing w:after="0" w:afterAutospacing="0"/>
    </w:pPr>
  </w:style>
  <w:style w:type="paragraph" w:styleId="894">
    <w:name w:val="Обычный"/>
    <w:next w:val="894"/>
    <w:link w:val="894"/>
    <w:rPr>
      <w:lang w:val="ru-RU" w:bidi="ar-SA" w:eastAsia="ru-RU"/>
    </w:rPr>
    <w:pPr>
      <w:widowControl w:val="off"/>
    </w:pPr>
  </w:style>
  <w:style w:type="character" w:styleId="895">
    <w:name w:val="Основной шрифт абзаца"/>
    <w:next w:val="895"/>
    <w:link w:val="894"/>
    <w:semiHidden/>
  </w:style>
  <w:style w:type="table" w:styleId="896">
    <w:name w:val="Обычная таблица"/>
    <w:next w:val="896"/>
    <w:link w:val="894"/>
    <w:semiHidden/>
    <w:tblPr/>
  </w:style>
  <w:style w:type="numbering" w:styleId="897">
    <w:name w:val="Нет списка"/>
    <w:next w:val="897"/>
    <w:link w:val="894"/>
    <w:semiHidden/>
  </w:style>
  <w:style w:type="paragraph" w:styleId="898">
    <w:name w:val="Текст выноски"/>
    <w:basedOn w:val="894"/>
    <w:next w:val="898"/>
    <w:link w:val="894"/>
    <w:semiHidden/>
    <w:rPr>
      <w:rFonts w:ascii="Tahoma" w:hAnsi="Tahoma"/>
      <w:sz w:val="16"/>
      <w:szCs w:val="16"/>
    </w:rPr>
  </w:style>
  <w:style w:type="paragraph" w:styleId="899">
    <w:name w:val="Верхний колонтитул"/>
    <w:basedOn w:val="894"/>
    <w:next w:val="899"/>
    <w:link w:val="910"/>
    <w:pPr>
      <w:tabs>
        <w:tab w:val="center" w:pos="4677" w:leader="none"/>
        <w:tab w:val="right" w:pos="9355" w:leader="none"/>
      </w:tabs>
    </w:pPr>
  </w:style>
  <w:style w:type="character" w:styleId="900">
    <w:name w:val="Номер страницы"/>
    <w:basedOn w:val="895"/>
    <w:next w:val="900"/>
    <w:link w:val="894"/>
  </w:style>
  <w:style w:type="table" w:styleId="901">
    <w:name w:val="Сетка таблицы"/>
    <w:basedOn w:val="896"/>
    <w:next w:val="901"/>
    <w:link w:val="894"/>
    <w:tblPr/>
  </w:style>
  <w:style w:type="paragraph" w:styleId="902">
    <w:name w:val="ConsPlusNormal"/>
    <w:next w:val="902"/>
    <w:link w:val="904"/>
    <w:rPr>
      <w:rFonts w:ascii="Arial" w:hAnsi="Arial"/>
      <w:lang w:val="ru-RU" w:bidi="ar-SA" w:eastAsia="ru-RU"/>
    </w:rPr>
    <w:pPr>
      <w:ind w:firstLine="720"/>
      <w:widowControl w:val="off"/>
    </w:pPr>
  </w:style>
  <w:style w:type="paragraph" w:styleId="903">
    <w:name w:val="ConsPlusNonformat"/>
    <w:next w:val="903"/>
    <w:link w:val="894"/>
    <w:rPr>
      <w:rFonts w:ascii="Courier New" w:hAnsi="Courier New"/>
      <w:lang w:val="ru-RU" w:bidi="ar-SA" w:eastAsia="ru-RU"/>
    </w:rPr>
    <w:pPr>
      <w:widowControl w:val="off"/>
    </w:pPr>
  </w:style>
  <w:style w:type="character" w:styleId="904">
    <w:name w:val="ConsPlusNormal Знак"/>
    <w:next w:val="904"/>
    <w:link w:val="902"/>
    <w:rPr>
      <w:rFonts w:ascii="Arial" w:hAnsi="Arial"/>
      <w:lang w:val="ru-RU" w:bidi="ar-SA" w:eastAsia="ru-RU"/>
    </w:rPr>
  </w:style>
  <w:style w:type="paragraph" w:styleId="905">
    <w:name w:val="Название"/>
    <w:basedOn w:val="894"/>
    <w:next w:val="905"/>
    <w:link w:val="894"/>
    <w:rPr>
      <w:b/>
      <w:sz w:val="32"/>
    </w:rPr>
    <w:pPr>
      <w:jc w:val="center"/>
      <w:widowControl/>
    </w:pPr>
  </w:style>
  <w:style w:type="paragraph" w:styleId="906">
    <w:name w:val="Основной текст 3"/>
    <w:basedOn w:val="894"/>
    <w:next w:val="906"/>
    <w:link w:val="894"/>
    <w:rPr>
      <w:sz w:val="16"/>
      <w:szCs w:val="16"/>
    </w:rPr>
    <w:pPr>
      <w:spacing w:after="120"/>
      <w:widowControl/>
    </w:pPr>
  </w:style>
  <w:style w:type="character" w:styleId="907">
    <w:name w:val="Гиперссылка"/>
    <w:next w:val="907"/>
    <w:link w:val="894"/>
    <w:rPr>
      <w:color w:val="0000FF"/>
      <w:u w:val="single"/>
    </w:rPr>
  </w:style>
  <w:style w:type="paragraph" w:styleId="908">
    <w:name w:val="Обычный (веб)"/>
    <w:basedOn w:val="894"/>
    <w:next w:val="908"/>
    <w:link w:val="894"/>
    <w:rPr>
      <w:color w:val="000000"/>
      <w:sz w:val="24"/>
      <w:szCs w:val="24"/>
    </w:rPr>
    <w:pPr>
      <w:spacing w:after="115" w:before="100" w:beforeAutospacing="1"/>
      <w:widowControl/>
    </w:pPr>
  </w:style>
  <w:style w:type="paragraph" w:styleId="909">
    <w:name w:val="western"/>
    <w:basedOn w:val="894"/>
    <w:next w:val="909"/>
    <w:link w:val="894"/>
    <w:rPr>
      <w:color w:val="000000"/>
      <w:sz w:val="24"/>
      <w:szCs w:val="24"/>
    </w:rPr>
    <w:pPr>
      <w:spacing w:after="115" w:before="100" w:beforeAutospacing="1"/>
      <w:widowControl/>
    </w:pPr>
  </w:style>
  <w:style w:type="character" w:styleId="910">
    <w:name w:val="Верхний колонтитул Знак"/>
    <w:next w:val="910"/>
    <w:link w:val="899"/>
    <w:rPr>
      <w:lang w:val="ru-RU" w:bidi="ar-SA" w:eastAsia="ru-RU"/>
    </w:rPr>
  </w:style>
  <w:style w:type="paragraph" w:styleId="911">
    <w:name w:val="Нижний колонтитул"/>
    <w:basedOn w:val="894"/>
    <w:next w:val="911"/>
    <w:link w:val="912"/>
    <w:rPr>
      <w:sz w:val="28"/>
    </w:rPr>
    <w:pPr>
      <w:widowControl/>
      <w:tabs>
        <w:tab w:val="center" w:pos="4677" w:leader="none"/>
        <w:tab w:val="right" w:pos="9355" w:leader="none"/>
      </w:tabs>
    </w:pPr>
  </w:style>
  <w:style w:type="character" w:styleId="912">
    <w:name w:val="Нижний колонтитул Знак"/>
    <w:next w:val="912"/>
    <w:link w:val="911"/>
    <w:rPr>
      <w:sz w:val="28"/>
      <w:lang w:val="ru-RU" w:bidi="ar-SA" w:eastAsia="ru-RU"/>
    </w:rPr>
  </w:style>
  <w:style w:type="paragraph" w:styleId="913">
    <w:name w:val="Основной текст"/>
    <w:basedOn w:val="894"/>
    <w:next w:val="913"/>
    <w:link w:val="894"/>
    <w:pPr>
      <w:spacing w:after="120"/>
    </w:pPr>
  </w:style>
  <w:style w:type="paragraph" w:styleId="914">
    <w:name w:val="Основной текст с отступом"/>
    <w:basedOn w:val="894"/>
    <w:next w:val="914"/>
    <w:link w:val="894"/>
    <w:pPr>
      <w:ind w:left="283"/>
      <w:spacing w:after="120"/>
    </w:pPr>
  </w:style>
  <w:style w:type="paragraph" w:styleId="915">
    <w:name w:val="Основной текст с отступом 3"/>
    <w:basedOn w:val="894"/>
    <w:next w:val="915"/>
    <w:link w:val="894"/>
    <w:rPr>
      <w:sz w:val="16"/>
      <w:szCs w:val="16"/>
    </w:rPr>
    <w:pPr>
      <w:ind w:left="283"/>
      <w:spacing w:after="120"/>
    </w:pPr>
  </w:style>
  <w:style w:type="paragraph" w:styleId="916">
    <w:name w:val="ConsNonformat"/>
    <w:next w:val="916"/>
    <w:link w:val="894"/>
    <w:rPr>
      <w:rFonts w:ascii="Courier New" w:hAnsi="Courier New"/>
      <w:lang w:val="ru-RU" w:bidi="ar-SA" w:eastAsia="ru-RU"/>
    </w:rPr>
    <w:pPr>
      <w:ind w:right="19772"/>
      <w:widowControl w:val="off"/>
    </w:pPr>
  </w:style>
  <w:style w:type="paragraph" w:styleId="917">
    <w:name w:val="ConsNormal"/>
    <w:next w:val="917"/>
    <w:link w:val="894"/>
    <w:rPr>
      <w:rFonts w:ascii="Arial" w:hAnsi="Arial"/>
      <w:lang w:val="ru-RU" w:bidi="ar-SA" w:eastAsia="ru-RU"/>
    </w:rPr>
    <w:pPr>
      <w:ind w:right="19772" w:firstLine="720"/>
      <w:widowControl w:val="off"/>
    </w:pPr>
  </w:style>
  <w:style w:type="paragraph" w:styleId="918">
    <w:name w:val="Таблицы (моноширинный)"/>
    <w:basedOn w:val="894"/>
    <w:next w:val="894"/>
    <w:link w:val="894"/>
    <w:rPr>
      <w:rFonts w:ascii="Courier New" w:hAnsi="Courier New"/>
    </w:rPr>
    <w:pPr>
      <w:jc w:val="both"/>
    </w:pPr>
  </w:style>
  <w:style w:type="character" w:styleId="919">
    <w:name w:val="Основной текст2"/>
    <w:next w:val="919"/>
    <w:link w:val="894"/>
    <w:rPr>
      <w:rFonts w:ascii="Times New Roman" w:hAnsi="Times New Roman" w:eastAsia="Times New Roman"/>
      <w:color w:val="000000"/>
      <w:spacing w:val="0"/>
      <w:position w:val="0"/>
      <w:sz w:val="27"/>
      <w:szCs w:val="27"/>
      <w:shd w:val="clear" w:fill="FFFFFF" w:color="auto"/>
      <w:lang w:val="ru-RU"/>
    </w:rPr>
  </w:style>
  <w:style w:type="paragraph" w:styleId="920">
    <w:name w:val="Абзац списка2"/>
    <w:basedOn w:val="894"/>
    <w:next w:val="920"/>
    <w:link w:val="894"/>
    <w:rPr>
      <w:rFonts w:ascii="Calibri" w:hAnsi="Calibri" w:eastAsia="Gulim"/>
      <w:sz w:val="22"/>
      <w:szCs w:val="22"/>
      <w:lang w:eastAsia="en-US"/>
    </w:rPr>
    <w:pPr>
      <w:ind w:left="720"/>
      <w:spacing w:lineRule="auto" w:line="276" w:after="200"/>
      <w:widowControl/>
    </w:pPr>
  </w:style>
  <w:style w:type="paragraph" w:styleId="921">
    <w:name w:val="No Spacing"/>
    <w:next w:val="921"/>
    <w:link w:val="894"/>
    <w:rPr>
      <w:rFonts w:ascii="Calibri" w:hAnsi="Calibri"/>
      <w:sz w:val="22"/>
      <w:szCs w:val="22"/>
      <w:lang w:val="ru-RU" w:bidi="ar-SA" w:eastAsia="ru-RU"/>
    </w:rPr>
  </w:style>
  <w:style w:type="character" w:styleId="922">
    <w:name w:val="Font Style48"/>
    <w:next w:val="922"/>
    <w:link w:val="894"/>
    <w:rPr>
      <w:rFonts w:ascii="Times New Roman" w:hAnsi="Times New Roman"/>
      <w:b/>
      <w:bCs/>
      <w:sz w:val="26"/>
      <w:szCs w:val="26"/>
    </w:rPr>
  </w:style>
  <w:style w:type="character" w:styleId="923">
    <w:name w:val="Font Style49"/>
    <w:next w:val="923"/>
    <w:link w:val="894"/>
    <w:rPr>
      <w:rFonts w:ascii="Times New Roman" w:hAnsi="Times New Roman"/>
      <w:sz w:val="26"/>
      <w:szCs w:val="26"/>
    </w:rPr>
  </w:style>
  <w:style w:type="character" w:styleId="924">
    <w:name w:val="Font Style30"/>
    <w:next w:val="924"/>
    <w:link w:val="894"/>
    <w:rPr>
      <w:rFonts w:ascii="Times New Roman" w:hAnsi="Times New Roman"/>
      <w:sz w:val="22"/>
      <w:szCs w:val="22"/>
    </w:rPr>
  </w:style>
  <w:style w:type="character" w:styleId="925">
    <w:name w:val="Font Style29"/>
    <w:next w:val="925"/>
    <w:link w:val="894"/>
    <w:rPr>
      <w:rFonts w:ascii="Times New Roman" w:hAnsi="Times New Roman"/>
      <w:b/>
      <w:bCs/>
      <w:sz w:val="22"/>
      <w:szCs w:val="22"/>
    </w:rPr>
  </w:style>
  <w:style w:type="character" w:styleId="926">
    <w:name w:val="Основной текст (4)_"/>
    <w:next w:val="926"/>
    <w:link w:val="927"/>
    <w:rPr>
      <w:spacing w:val="9"/>
      <w:sz w:val="16"/>
      <w:szCs w:val="16"/>
      <w:shd w:val="clear" w:fill="FFFFFF" w:color="auto"/>
    </w:rPr>
  </w:style>
  <w:style w:type="paragraph" w:styleId="927">
    <w:name w:val="Основной текст (4)"/>
    <w:basedOn w:val="894"/>
    <w:next w:val="927"/>
    <w:link w:val="926"/>
    <w:rPr>
      <w:spacing w:val="9"/>
      <w:sz w:val="16"/>
      <w:szCs w:val="16"/>
    </w:rPr>
    <w:pPr>
      <w:ind w:hanging="1840"/>
      <w:jc w:val="center"/>
      <w:spacing w:lineRule="exact" w:line="216" w:after="240" w:before="660"/>
      <w:shd w:val="clear" w:fill="FFFFFF" w:color="auto"/>
    </w:pPr>
  </w:style>
  <w:style w:type="paragraph" w:styleId="928">
    <w:name w:val="Абзац списка"/>
    <w:basedOn w:val="894"/>
    <w:next w:val="928"/>
    <w:link w:val="929"/>
    <w:rPr>
      <w:sz w:val="24"/>
      <w:szCs w:val="22"/>
      <w:lang w:val="en-US" w:bidi="en-US" w:eastAsia="en-US"/>
    </w:rPr>
    <w:pPr>
      <w:contextualSpacing w:val="true"/>
      <w:ind w:left="720"/>
      <w:jc w:val="both"/>
      <w:widowControl/>
    </w:pPr>
  </w:style>
  <w:style w:type="character" w:styleId="929">
    <w:name w:val="Абзац списка Знак"/>
    <w:next w:val="929"/>
    <w:link w:val="928"/>
    <w:rPr>
      <w:sz w:val="24"/>
      <w:szCs w:val="22"/>
      <w:lang w:val="en-US" w:bidi="en-US" w:eastAsia="en-US"/>
    </w:rPr>
  </w:style>
  <w:style w:type="character" w:styleId="930" w:default="1">
    <w:name w:val="Default Paragraph Font"/>
    <w:uiPriority w:val="1"/>
    <w:semiHidden/>
    <w:unhideWhenUsed/>
  </w:style>
  <w:style w:type="numbering" w:styleId="931" w:default="1">
    <w:name w:val="No List"/>
    <w:uiPriority w:val="99"/>
    <w:semiHidden/>
    <w:unhideWhenUsed/>
  </w:style>
  <w:style w:type="paragraph" w:styleId="932" w:default="1">
    <w:name w:val="Normal"/>
    <w:qFormat/>
  </w:style>
  <w:style w:type="table" w:styleId="933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Р7-Офис/6.4.2.28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9</cp:revision>
  <dcterms:modified xsi:type="dcterms:W3CDTF">2025-04-01T11:40:00Z</dcterms:modified>
</cp:coreProperties>
</file>