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2025-04-01T11:34:12Z</dcterms:modified>
</cp:coreProperties>
</file>