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8"/>
        <w:ind w:firstLine="720"/>
        <w:jc w:val="both"/>
        <w:rPr>
          <w:color w:val="000000"/>
          <w:sz w:val="24"/>
          <w:szCs w:val="22"/>
        </w:rPr>
      </w:pPr>
      <w:r>
        <w:rPr>
          <w:color w:val="000000"/>
          <w:sz w:val="24"/>
          <w:szCs w:val="24"/>
        </w:rPr>
        <w:t xml:space="preserve">Администрация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2"/>
        </w:rPr>
        <w:t xml:space="preserve">главного специалиста отдела безопасности </w:t>
      </w:r>
      <w:r>
        <w:rPr>
          <w:color w:val="000000"/>
          <w:sz w:val="24"/>
          <w:szCs w:val="24"/>
        </w:rPr>
        <w:t xml:space="preserve">у</w:t>
      </w:r>
      <w:r>
        <w:rPr>
          <w:color w:val="000000"/>
          <w:sz w:val="24"/>
          <w:szCs w:val="24"/>
        </w:rPr>
        <w:t xml:space="preserve">правления по взаимодействию с правоохранительными     и </w:t>
      </w:r>
      <w:r>
        <w:rPr>
          <w:color w:val="000000"/>
          <w:sz w:val="24"/>
          <w:szCs w:val="24"/>
        </w:rPr>
        <w:t xml:space="preserve">контрольно-надзорными органами</w:t>
      </w:r>
      <w:r>
        <w:rPr>
          <w:color w:val="000000"/>
          <w:sz w:val="24"/>
          <w:szCs w:val="22"/>
        </w:rPr>
        <w:t xml:space="preserve"> </w:t>
      </w: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Новооскол</w:t>
      </w:r>
      <w:r>
        <w:rPr>
          <w:color w:val="000000"/>
          <w:sz w:val="24"/>
          <w:szCs w:val="24"/>
        </w:rPr>
        <w:t xml:space="preserve">ьского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 </w:t>
      </w:r>
      <w:r>
        <w:rPr>
          <w:color w:val="000000"/>
          <w:sz w:val="24"/>
          <w:szCs w:val="22"/>
        </w:rPr>
        <w:t xml:space="preserve">–</w:t>
      </w:r>
      <w:r>
        <w:rPr>
          <w:color w:val="000000"/>
          <w:sz w:val="24"/>
          <w:szCs w:val="22"/>
        </w:rPr>
        <w:t xml:space="preserve"> ответственного секретаря админи</w:t>
      </w:r>
      <w:r>
        <w:rPr>
          <w:color w:val="000000"/>
          <w:sz w:val="24"/>
          <w:szCs w:val="22"/>
        </w:rPr>
        <w:t xml:space="preserve">стр</w:t>
      </w:r>
      <w:r>
        <w:rPr>
          <w:color w:val="000000"/>
          <w:sz w:val="24"/>
          <w:szCs w:val="22"/>
        </w:rPr>
        <w:t xml:space="preserve">ативной комиссии </w:t>
      </w:r>
      <w:r>
        <w:rPr>
          <w:color w:val="000000"/>
          <w:sz w:val="24"/>
          <w:szCs w:val="28"/>
        </w:rPr>
        <w:t xml:space="preserve">при администрации Новооскольского </w:t>
      </w:r>
      <w:r>
        <w:rPr>
          <w:color w:val="000000"/>
          <w:sz w:val="24"/>
          <w:szCs w:val="28"/>
        </w:rPr>
        <w:t xml:space="preserve">му</w:t>
      </w:r>
      <w:r>
        <w:rPr>
          <w:color w:val="000000"/>
          <w:sz w:val="24"/>
          <w:szCs w:val="28"/>
        </w:rPr>
        <w:t xml:space="preserve">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</w:rPr>
      </w:r>
      <w:r/>
    </w:p>
    <w:p>
      <w:pPr>
        <w:pStyle w:val="888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8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8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8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знаниями:</w:t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  <w:szCs w:val="28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правовыми знаниями основ: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б) Федерального закона от 6 октября 2003 года № 131-ФЗ           «Об общих принципах организации местного самоуправления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в) Федерального закона от 2 марта 2007 года № 25-ФЗ                    «О муниципальной службе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г) </w:t>
            </w:r>
            <w:r>
              <w:rPr>
                <w:color w:val="000000"/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д) закона Белгородской области от 24 сентября 2007 года                  № 150 «Об особенностях организации муниципальной службы в Белгородской области».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умениями: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1) работать на компьютере, в том числе в сети «Интернет»;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работать в информационно-правовых системах;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3) эффективно планировать работу и контролировать                        ее выполнение;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4) оперативно принимать и реализовывать управленческие решения;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6) соблюдать этику делового общения при взаимодействии                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</w:t>
            </w:r>
            <w:r>
              <w:rPr>
                <w:color w:val="000000"/>
                <w:sz w:val="24"/>
                <w:szCs w:val="22"/>
              </w:rPr>
              <w:t xml:space="preserve">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а) Федеральные законы и иные федеральные нормативные правовые акты: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Уголовный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Кодекс Российской Федерации об административных правонарушениях;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закон Российской Федерации от 21 июля 1993 года № 5485-1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«О государственной тайне»;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</w:t>
            </w: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  <w:t xml:space="preserve">Федеральный закон от 31 мая 1996 года № 61-ФЗ                        «Об обороне»;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  <w:t xml:space="preserve">- </w:t>
            </w:r>
            <w:r>
              <w:rPr>
                <w:color w:val="000000"/>
                <w:sz w:val="24"/>
                <w:szCs w:val="28"/>
              </w:rPr>
              <w:t xml:space="preserve">Федеральный закон от 8 января 1998 года № 3-ФЗ                           «О наркотических средствах и психотропных веществах»;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Российской Федерации от 27 июля               2006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149-ФЗ «Об информации, информационных технологиях и о защите информации»;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Российской Федерации от 27 июля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              2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006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152-ФЗ «О персональных данных»;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25 декабря 2008 года № 273-ФЗ                              «О противодействии коррупции»;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от 28 декабря 2010 года № 390-ФЗ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«О безопасности»;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от 06 апреля 2011 года № 63-ФЗ                  «Об электронной подписи»;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 апреля 2014 года № 44-ФЗ                    «Об участии граждан в охране общественного порядка»;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23 июня 2016 года № 182-ФЗ                   «Об основах системы профилактики правонарушений                       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9 мая 2017 года № 203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«О Стратегии развития информационного общества                в Российской Федерации на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2017-2030 годы»;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9 августа                  2020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505 «</w:t>
            </w:r>
            <w:r>
              <w:rPr>
                <w:color w:val="000000"/>
                <w:sz w:val="24"/>
                <w:szCs w:val="28"/>
              </w:rPr>
              <w:t xml:space="preserve">Об утверждении Стратегии государственной политики Российской Федерации в отношении российского казачества на 2021 - 2030 годы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23 ноября                2020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733 «</w:t>
            </w:r>
            <w:r>
              <w:rPr>
                <w:color w:val="000000"/>
                <w:sz w:val="24"/>
                <w:szCs w:val="28"/>
              </w:rPr>
              <w:t xml:space="preserve">Об утверждении Стратегии государственной антинаркотической политики Российской Федерации до                2030 года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2 июля 2021 года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№ 400 «О Стратегии национальной безопасности Российской Федерации».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закон Белгородской области от 4 июля 2002 года № 35                            «</w:t>
            </w:r>
            <w:r>
              <w:rPr>
                <w:color w:val="000000"/>
                <w:sz w:val="24"/>
                <w:szCs w:val="28"/>
              </w:rPr>
              <w:t xml:space="preserve">Об административных правонарушениях на территории Белгородской области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закон Белгородской области от 29 ноября 2016 года № 124                           «О реализации в Белгородской области некоторых положений Федерального закона «Об основах системы профилактики правона</w:t>
            </w:r>
            <w:r>
              <w:rPr>
                <w:color w:val="000000"/>
                <w:sz w:val="24"/>
                <w:szCs w:val="28"/>
              </w:rPr>
              <w:t xml:space="preserve">рушений в Российской Федерации».</w:t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8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 и другими федеральными законами;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</w:t>
      </w:r>
      <w:r>
        <w:rPr>
          <w:rFonts w:ascii="Times New Roman" w:hAnsi="Times New Roman"/>
          <w:sz w:val="24"/>
          <w:szCs w:val="28"/>
        </w:rPr>
        <w:t xml:space="preserve">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муниципального служащего Новооскольского муниципального округа,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</w:t>
      </w:r>
      <w:r>
        <w:rPr>
          <w:rFonts w:ascii="Times New Roman" w:hAnsi="Times New Roman"/>
          <w:sz w:val="24"/>
          <w:szCs w:val="28"/>
        </w:rPr>
        <w:t xml:space="preserve"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 Руководствоваться</w:t>
      </w:r>
      <w:r>
        <w:rPr>
          <w:rFonts w:ascii="Times New Roman" w:hAnsi="Times New Roman"/>
          <w:sz w:val="24"/>
          <w:szCs w:val="28"/>
        </w:rPr>
        <w:t xml:space="preserve"> в своей деятельности постановлениями, распоряжениями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округа, указаниями главы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заместителя главы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- секретаря Совета безопасности, начальника управления 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округа, начальника отдела безопасности управления 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11. Осуществля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организационно-техническое обеспечение деятельности административной комиссии при 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(далее – административная комиссия)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</w:t>
      </w:r>
      <w:r>
        <w:rPr>
          <w:rFonts w:ascii="Times New Roman" w:hAnsi="Times New Roman"/>
          <w:sz w:val="24"/>
          <w:szCs w:val="28"/>
        </w:rPr>
        <w:t xml:space="preserve">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регистрацию</w:t>
      </w:r>
      <w:r>
        <w:rPr>
          <w:rFonts w:ascii="Times New Roman" w:hAnsi="Times New Roman"/>
          <w:sz w:val="24"/>
          <w:szCs w:val="28"/>
        </w:rPr>
        <w:t xml:space="preserve"> в специальном журнале, поступивших от правоохранительных органов, органов местного самоуправления протоколов об административном правонарушении и постановлений прокурора Новооскольского района о возбуждении производства об административном правонарушении;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13. П</w:t>
      </w:r>
      <w:r>
        <w:rPr>
          <w:rFonts w:ascii="Times New Roman" w:hAnsi="Times New Roman"/>
          <w:sz w:val="24"/>
          <w:szCs w:val="28"/>
        </w:rPr>
        <w:t xml:space="preserve">ри подготовке к рассмотрению дела об административном</w:t>
      </w:r>
      <w:r>
        <w:rPr>
          <w:rFonts w:ascii="Times New Roman" w:hAnsi="Times New Roman"/>
          <w:sz w:val="24"/>
          <w:szCs w:val="28"/>
        </w:rPr>
        <w:br/>
        <w:t xml:space="preserve">правонарушении</w:t>
      </w:r>
      <w:r>
        <w:rPr>
          <w:rFonts w:ascii="Times New Roman" w:hAnsi="Times New Roman"/>
          <w:sz w:val="24"/>
          <w:szCs w:val="28"/>
        </w:rPr>
        <w:t xml:space="preserve"> проверять и докладыва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на заседании административной комиссии: относится ли к компетенции административной комиссии рассмотрение данного дела, не истекли ли сроки да</w:t>
      </w:r>
      <w:r>
        <w:rPr>
          <w:rFonts w:ascii="Times New Roman" w:hAnsi="Times New Roman"/>
          <w:sz w:val="24"/>
          <w:szCs w:val="28"/>
        </w:rPr>
        <w:t xml:space="preserve">вности привлечения к административной ответственности, есть ли событие административного правонарушения, имеется ли состав административного правонарушения и другие вопросы, предусмотренные Кодексом Российской Федерации об административных правонарушениях;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14.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извещения лицам, участвующим в рассмотрении дела об административном правонарушении, о дне, времени и месте </w:t>
      </w:r>
      <w:r>
        <w:rPr>
          <w:rFonts w:ascii="Times New Roman" w:hAnsi="Times New Roman"/>
          <w:sz w:val="24"/>
          <w:szCs w:val="28"/>
        </w:rPr>
        <w:t xml:space="preserve">его рассмотрения, истребовать</w:t>
      </w:r>
      <w:r>
        <w:rPr>
          <w:rFonts w:ascii="Times New Roman" w:hAnsi="Times New Roman"/>
          <w:sz w:val="24"/>
          <w:szCs w:val="28"/>
        </w:rPr>
        <w:t xml:space="preserve"> дополнительные материалы и документы, необходимые для разрешения дела об административном правонарушении, при необходимости производит вызов должностных лиц и граждан для получения сведений по рассматриваемому делу;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15. П</w:t>
      </w:r>
      <w:r>
        <w:rPr>
          <w:rFonts w:ascii="Times New Roman" w:hAnsi="Times New Roman"/>
          <w:sz w:val="24"/>
          <w:szCs w:val="28"/>
        </w:rPr>
        <w:t xml:space="preserve">одписыват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конверты для отправки</w:t>
      </w:r>
      <w:r>
        <w:rPr>
          <w:rFonts w:ascii="Times New Roman" w:hAnsi="Times New Roman"/>
          <w:sz w:val="24"/>
          <w:szCs w:val="28"/>
        </w:rPr>
        <w:t xml:space="preserve"> оформленных извещений,</w:t>
      </w:r>
      <w:r>
        <w:rPr>
          <w:rFonts w:ascii="Times New Roman" w:hAnsi="Times New Roman"/>
          <w:sz w:val="24"/>
          <w:szCs w:val="28"/>
        </w:rPr>
        <w:br/>
        <w:t xml:space="preserve">заполня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почтовые уведомления в адрес к</w:t>
      </w:r>
      <w:r>
        <w:rPr>
          <w:rFonts w:ascii="Times New Roman" w:hAnsi="Times New Roman"/>
          <w:sz w:val="24"/>
          <w:szCs w:val="28"/>
        </w:rPr>
        <w:t xml:space="preserve">аждого правонарушителя,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реестр отправки заказной корреспонденции, производит ее отправку;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16.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расходование денежных средств для административной комиссии и о</w:t>
      </w:r>
      <w:r>
        <w:rPr>
          <w:rFonts w:ascii="Times New Roman" w:hAnsi="Times New Roman"/>
          <w:sz w:val="24"/>
          <w:szCs w:val="28"/>
        </w:rPr>
        <w:t xml:space="preserve">тчитыва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ся об их использовании;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17. Заполня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на каждое дело об административном правонарушении</w:t>
      </w:r>
      <w:r>
        <w:rPr>
          <w:rFonts w:ascii="Times New Roman" w:hAnsi="Times New Roman"/>
          <w:sz w:val="24"/>
          <w:szCs w:val="28"/>
        </w:rPr>
        <w:br/>
        <w:t xml:space="preserve">проект постановления</w:t>
      </w:r>
      <w:r>
        <w:rPr>
          <w:rFonts w:ascii="Times New Roman" w:hAnsi="Times New Roman"/>
          <w:sz w:val="24"/>
          <w:szCs w:val="28"/>
        </w:rPr>
        <w:t xml:space="preserve"> административной комиссии, вес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и</w:t>
      </w:r>
      <w:r>
        <w:rPr>
          <w:rFonts w:ascii="Times New Roman" w:hAnsi="Times New Roman"/>
          <w:sz w:val="24"/>
          <w:szCs w:val="28"/>
        </w:rPr>
        <w:t xml:space="preserve"> протокол заседания административной комиссии;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18. П</w:t>
      </w:r>
      <w:r>
        <w:rPr>
          <w:rFonts w:ascii="Times New Roman" w:hAnsi="Times New Roman"/>
          <w:sz w:val="24"/>
          <w:szCs w:val="28"/>
        </w:rPr>
        <w:t xml:space="preserve">осле заседания администра</w:t>
      </w:r>
      <w:r>
        <w:rPr>
          <w:rFonts w:ascii="Times New Roman" w:hAnsi="Times New Roman"/>
          <w:sz w:val="24"/>
          <w:szCs w:val="28"/>
        </w:rPr>
        <w:t xml:space="preserve">тивной комиссии вносить в журнал </w:t>
      </w:r>
      <w:r>
        <w:rPr>
          <w:rFonts w:ascii="Times New Roman" w:hAnsi="Times New Roman"/>
          <w:sz w:val="24"/>
          <w:szCs w:val="28"/>
        </w:rPr>
        <w:t xml:space="preserve">регистрации протоколов сумму штрафов, а также производит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отметку об уплате штрафа в случае предъявления квитанции об его уплате. При неуплате штрафа в устан</w:t>
      </w:r>
      <w:r>
        <w:rPr>
          <w:rFonts w:ascii="Times New Roman" w:hAnsi="Times New Roman"/>
          <w:sz w:val="24"/>
          <w:szCs w:val="28"/>
        </w:rPr>
        <w:t xml:space="preserve">овленный срок в журнале делать отметку</w:t>
      </w:r>
      <w:r>
        <w:rPr>
          <w:rFonts w:ascii="Times New Roman" w:hAnsi="Times New Roman"/>
          <w:sz w:val="24"/>
          <w:szCs w:val="28"/>
        </w:rPr>
        <w:t xml:space="preserve"> о направлении постановления в службу судебных приставов для принудительного взыскания;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19. Подписыва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 конверты,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реестр отправки простой</w:t>
      </w:r>
      <w:r>
        <w:rPr>
          <w:rFonts w:ascii="Times New Roman" w:hAnsi="Times New Roman"/>
          <w:sz w:val="24"/>
          <w:szCs w:val="28"/>
        </w:rPr>
        <w:br/>
        <w:t xml:space="preserve">корреспонденции, производит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учет штрафов;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20. Г</w:t>
      </w:r>
      <w:r>
        <w:rPr>
          <w:rFonts w:ascii="Times New Roman" w:hAnsi="Times New Roman"/>
          <w:sz w:val="24"/>
          <w:szCs w:val="28"/>
        </w:rPr>
        <w:t xml:space="preserve">отовит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ежемесячный отчет по установленным формам;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21. Подготавлива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проекты ответов на запросы, касающиеся работы административной комиссии, о суммах начисленных и взысканных штрафов;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Составля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опись дел п</w:t>
      </w:r>
      <w:r>
        <w:rPr>
          <w:rFonts w:ascii="Times New Roman" w:hAnsi="Times New Roman"/>
          <w:sz w:val="24"/>
          <w:szCs w:val="28"/>
        </w:rPr>
        <w:t xml:space="preserve">остоянного хранения, обеспечива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работу по формированию, оформлению и сохранению дел, подлежащих сдаче в архив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23.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организационно-техническое обеспечение деятельности межведомственной комиссии миграционного контроля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8"/>
        </w:rPr>
        <w:tab/>
        <w:t xml:space="preserve">24.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Пользова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ься и участвовать</w:t>
      </w:r>
      <w:r>
        <w:rPr>
          <w:rFonts w:ascii="Times New Roman" w:hAnsi="Times New Roman"/>
          <w:sz w:val="24"/>
          <w:szCs w:val="28"/>
        </w:rPr>
        <w:t xml:space="preserve"> в организации информационного банка данных, отражающих деятельность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 </w:t>
      </w:r>
      <w:r>
        <w:rPr>
          <w:rFonts w:ascii="Times New Roman" w:hAnsi="Times New Roman"/>
          <w:sz w:val="24"/>
          <w:szCs w:val="28"/>
        </w:rPr>
        <w:t xml:space="preserve">округа.</w:t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апреля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21 апреля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12 </w:t>
      </w:r>
      <w:r>
        <w:rPr>
          <w:b/>
          <w:color w:val="000000"/>
          <w:sz w:val="24"/>
          <w:szCs w:val="24"/>
        </w:rPr>
        <w:t xml:space="preserve">мая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6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3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8"/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1">
    <w:name w:val="Heading 1"/>
    <w:link w:val="7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2">
    <w:name w:val="Heading 1 Char"/>
    <w:link w:val="711"/>
    <w:uiPriority w:val="9"/>
    <w:rPr>
      <w:rFonts w:ascii="Arial" w:hAnsi="Arial" w:cs="Arial" w:eastAsia="Arial"/>
      <w:sz w:val="40"/>
      <w:szCs w:val="40"/>
    </w:rPr>
  </w:style>
  <w:style w:type="paragraph" w:styleId="713">
    <w:name w:val="Heading 2"/>
    <w:link w:val="7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4">
    <w:name w:val="Heading 2 Char"/>
    <w:link w:val="713"/>
    <w:uiPriority w:val="9"/>
    <w:rPr>
      <w:rFonts w:ascii="Arial" w:hAnsi="Arial" w:cs="Arial" w:eastAsia="Arial"/>
      <w:sz w:val="34"/>
    </w:rPr>
  </w:style>
  <w:style w:type="paragraph" w:styleId="715">
    <w:name w:val="Heading 3"/>
    <w:link w:val="7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6">
    <w:name w:val="Heading 3 Char"/>
    <w:link w:val="715"/>
    <w:uiPriority w:val="9"/>
    <w:rPr>
      <w:rFonts w:ascii="Arial" w:hAnsi="Arial" w:cs="Arial" w:eastAsia="Arial"/>
      <w:sz w:val="30"/>
      <w:szCs w:val="30"/>
    </w:rPr>
  </w:style>
  <w:style w:type="paragraph" w:styleId="717">
    <w:name w:val="Heading 4"/>
    <w:link w:val="7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8">
    <w:name w:val="Heading 4 Char"/>
    <w:link w:val="717"/>
    <w:uiPriority w:val="9"/>
    <w:rPr>
      <w:rFonts w:ascii="Arial" w:hAnsi="Arial" w:cs="Arial" w:eastAsia="Arial"/>
      <w:b/>
      <w:bCs/>
      <w:sz w:val="26"/>
      <w:szCs w:val="26"/>
    </w:rPr>
  </w:style>
  <w:style w:type="paragraph" w:styleId="719">
    <w:name w:val="Heading 5"/>
    <w:link w:val="7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0">
    <w:name w:val="Heading 5 Char"/>
    <w:link w:val="719"/>
    <w:uiPriority w:val="9"/>
    <w:rPr>
      <w:rFonts w:ascii="Arial" w:hAnsi="Arial" w:cs="Arial" w:eastAsia="Arial"/>
      <w:b/>
      <w:bCs/>
      <w:sz w:val="24"/>
      <w:szCs w:val="24"/>
    </w:rPr>
  </w:style>
  <w:style w:type="paragraph" w:styleId="721">
    <w:name w:val="Heading 6"/>
    <w:link w:val="7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2">
    <w:name w:val="Heading 6 Char"/>
    <w:link w:val="721"/>
    <w:uiPriority w:val="9"/>
    <w:rPr>
      <w:rFonts w:ascii="Arial" w:hAnsi="Arial" w:cs="Arial" w:eastAsia="Arial"/>
      <w:b/>
      <w:bCs/>
      <w:sz w:val="22"/>
      <w:szCs w:val="22"/>
    </w:rPr>
  </w:style>
  <w:style w:type="paragraph" w:styleId="723">
    <w:name w:val="Heading 7"/>
    <w:link w:val="7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4">
    <w:name w:val="Heading 7 Char"/>
    <w:link w:val="7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5">
    <w:name w:val="Heading 8"/>
    <w:link w:val="7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6">
    <w:name w:val="Heading 8 Char"/>
    <w:link w:val="725"/>
    <w:uiPriority w:val="9"/>
    <w:rPr>
      <w:rFonts w:ascii="Arial" w:hAnsi="Arial" w:cs="Arial" w:eastAsia="Arial"/>
      <w:i/>
      <w:iCs/>
      <w:sz w:val="22"/>
      <w:szCs w:val="22"/>
    </w:rPr>
  </w:style>
  <w:style w:type="paragraph" w:styleId="727">
    <w:name w:val="Heading 9"/>
    <w:link w:val="7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8">
    <w:name w:val="Heading 9 Char"/>
    <w:link w:val="727"/>
    <w:uiPriority w:val="9"/>
    <w:rPr>
      <w:rFonts w:ascii="Arial" w:hAnsi="Arial" w:cs="Arial" w:eastAsia="Arial"/>
      <w:i/>
      <w:iCs/>
      <w:sz w:val="21"/>
      <w:szCs w:val="21"/>
    </w:rPr>
  </w:style>
  <w:style w:type="paragraph" w:styleId="729">
    <w:name w:val="List Paragraph"/>
    <w:qFormat/>
    <w:uiPriority w:val="34"/>
    <w:pPr>
      <w:contextualSpacing w:val="true"/>
      <w:ind w:left="720"/>
    </w:pPr>
  </w:style>
  <w:style w:type="paragraph" w:styleId="730">
    <w:name w:val="Title"/>
    <w:link w:val="73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1">
    <w:name w:val="Title Char"/>
    <w:link w:val="730"/>
    <w:uiPriority w:val="10"/>
    <w:rPr>
      <w:sz w:val="48"/>
      <w:szCs w:val="48"/>
    </w:rPr>
  </w:style>
  <w:style w:type="paragraph" w:styleId="732">
    <w:name w:val="Subtitle"/>
    <w:link w:val="733"/>
    <w:qFormat/>
    <w:uiPriority w:val="11"/>
    <w:rPr>
      <w:sz w:val="24"/>
      <w:szCs w:val="24"/>
    </w:rPr>
    <w:pPr>
      <w:spacing w:after="200" w:before="200"/>
    </w:pPr>
  </w:style>
  <w:style w:type="character" w:styleId="733">
    <w:name w:val="Subtitle Char"/>
    <w:link w:val="732"/>
    <w:uiPriority w:val="11"/>
    <w:rPr>
      <w:sz w:val="24"/>
      <w:szCs w:val="24"/>
    </w:rPr>
  </w:style>
  <w:style w:type="paragraph" w:styleId="734">
    <w:name w:val="Quote"/>
    <w:link w:val="735"/>
    <w:qFormat/>
    <w:uiPriority w:val="29"/>
    <w:rPr>
      <w:i/>
    </w:rPr>
    <w:pPr>
      <w:ind w:left="720" w:right="720"/>
    </w:p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link w:val="73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7">
    <w:name w:val="Intense Quote Char"/>
    <w:link w:val="736"/>
    <w:uiPriority w:val="30"/>
    <w:rPr>
      <w:i/>
    </w:rPr>
  </w:style>
  <w:style w:type="paragraph" w:styleId="738">
    <w:name w:val="Head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Header Char"/>
    <w:link w:val="738"/>
    <w:uiPriority w:val="99"/>
  </w:style>
  <w:style w:type="paragraph" w:styleId="740">
    <w:name w:val="Foot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Footer Char"/>
    <w:link w:val="740"/>
    <w:uiPriority w:val="99"/>
  </w:style>
  <w:style w:type="paragraph" w:styleId="74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3">
    <w:name w:val="Caption Char"/>
    <w:basedOn w:val="742"/>
    <w:link w:val="740"/>
    <w:uiPriority w:val="99"/>
  </w:style>
  <w:style w:type="table" w:styleId="74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link w:val="872"/>
    <w:uiPriority w:val="99"/>
    <w:semiHidden/>
    <w:unhideWhenUsed/>
    <w:rPr>
      <w:sz w:val="18"/>
    </w:rPr>
    <w:pPr>
      <w:spacing w:lineRule="auto" w:line="240" w:after="40"/>
    </w:p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link w:val="875"/>
    <w:uiPriority w:val="99"/>
    <w:semiHidden/>
    <w:unhideWhenUsed/>
    <w:rPr>
      <w:sz w:val="20"/>
    </w:rPr>
    <w:pPr>
      <w:spacing w:lineRule="auto" w:line="240" w:after="0"/>
    </w:p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uiPriority w:val="39"/>
    <w:unhideWhenUsed/>
    <w:pPr>
      <w:ind w:left="0" w:right="0" w:firstLine="0"/>
      <w:spacing w:after="57"/>
    </w:pPr>
  </w:style>
  <w:style w:type="paragraph" w:styleId="878">
    <w:name w:val="toc 2"/>
    <w:uiPriority w:val="39"/>
    <w:unhideWhenUsed/>
    <w:pPr>
      <w:ind w:left="283" w:right="0" w:firstLine="0"/>
      <w:spacing w:after="57"/>
    </w:pPr>
  </w:style>
  <w:style w:type="paragraph" w:styleId="879">
    <w:name w:val="toc 3"/>
    <w:uiPriority w:val="39"/>
    <w:unhideWhenUsed/>
    <w:pPr>
      <w:ind w:left="567" w:right="0" w:firstLine="0"/>
      <w:spacing w:after="57"/>
    </w:pPr>
  </w:style>
  <w:style w:type="paragraph" w:styleId="880">
    <w:name w:val="toc 4"/>
    <w:uiPriority w:val="39"/>
    <w:unhideWhenUsed/>
    <w:pPr>
      <w:ind w:left="850" w:right="0" w:firstLine="0"/>
      <w:spacing w:after="57"/>
    </w:pPr>
  </w:style>
  <w:style w:type="paragraph" w:styleId="881">
    <w:name w:val="toc 5"/>
    <w:uiPriority w:val="39"/>
    <w:unhideWhenUsed/>
    <w:pPr>
      <w:ind w:left="1134" w:right="0" w:firstLine="0"/>
      <w:spacing w:after="57"/>
    </w:pPr>
  </w:style>
  <w:style w:type="paragraph" w:styleId="882">
    <w:name w:val="toc 6"/>
    <w:uiPriority w:val="39"/>
    <w:unhideWhenUsed/>
    <w:pPr>
      <w:ind w:left="1417" w:right="0" w:firstLine="0"/>
      <w:spacing w:after="57"/>
    </w:pPr>
  </w:style>
  <w:style w:type="paragraph" w:styleId="883">
    <w:name w:val="toc 7"/>
    <w:uiPriority w:val="39"/>
    <w:unhideWhenUsed/>
    <w:pPr>
      <w:ind w:left="1701" w:right="0" w:firstLine="0"/>
      <w:spacing w:after="57"/>
    </w:pPr>
  </w:style>
  <w:style w:type="paragraph" w:styleId="884">
    <w:name w:val="toc 8"/>
    <w:uiPriority w:val="39"/>
    <w:unhideWhenUsed/>
    <w:pPr>
      <w:ind w:left="1984" w:right="0" w:firstLine="0"/>
      <w:spacing w:after="57"/>
    </w:pPr>
  </w:style>
  <w:style w:type="paragraph" w:styleId="885">
    <w:name w:val="toc 9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uiPriority w:val="99"/>
    <w:unhideWhenUsed/>
    <w:pPr>
      <w:spacing w:after="0" w:afterAutospacing="0"/>
    </w:pPr>
  </w:style>
  <w:style w:type="paragraph" w:styleId="888">
    <w:name w:val="Обычный"/>
    <w:next w:val="888"/>
    <w:link w:val="888"/>
    <w:rPr>
      <w:lang w:val="ru-RU" w:bidi="ar-SA" w:eastAsia="ru-RU"/>
    </w:rPr>
    <w:pPr>
      <w:widowControl w:val="off"/>
    </w:pPr>
  </w:style>
  <w:style w:type="character" w:styleId="889">
    <w:name w:val="Основной шрифт абзаца"/>
    <w:next w:val="889"/>
    <w:link w:val="888"/>
    <w:semiHidden/>
  </w:style>
  <w:style w:type="table" w:styleId="890">
    <w:name w:val="Обычная таблица"/>
    <w:next w:val="890"/>
    <w:link w:val="888"/>
    <w:semiHidden/>
    <w:tblPr/>
  </w:style>
  <w:style w:type="numbering" w:styleId="891">
    <w:name w:val="Нет списка"/>
    <w:next w:val="891"/>
    <w:link w:val="888"/>
    <w:semiHidden/>
  </w:style>
  <w:style w:type="paragraph" w:styleId="892">
    <w:name w:val="Текст выноски"/>
    <w:basedOn w:val="888"/>
    <w:next w:val="892"/>
    <w:link w:val="888"/>
    <w:semiHidden/>
    <w:rPr>
      <w:rFonts w:ascii="Tahoma" w:hAnsi="Tahoma"/>
      <w:sz w:val="16"/>
      <w:szCs w:val="16"/>
    </w:rPr>
  </w:style>
  <w:style w:type="paragraph" w:styleId="893">
    <w:name w:val="Верхний колонтитул"/>
    <w:basedOn w:val="888"/>
    <w:next w:val="893"/>
    <w:link w:val="904"/>
    <w:pPr>
      <w:tabs>
        <w:tab w:val="center" w:pos="4677" w:leader="none"/>
        <w:tab w:val="right" w:pos="9355" w:leader="none"/>
      </w:tabs>
    </w:pPr>
  </w:style>
  <w:style w:type="character" w:styleId="894">
    <w:name w:val="Номер страницы"/>
    <w:basedOn w:val="889"/>
    <w:next w:val="894"/>
    <w:link w:val="888"/>
  </w:style>
  <w:style w:type="table" w:styleId="895">
    <w:name w:val="Сетка таблицы"/>
    <w:basedOn w:val="890"/>
    <w:next w:val="895"/>
    <w:link w:val="888"/>
    <w:tblPr/>
  </w:style>
  <w:style w:type="paragraph" w:styleId="896">
    <w:name w:val="ConsPlusNormal"/>
    <w:next w:val="896"/>
    <w:link w:val="89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7">
    <w:name w:val="ConsPlusNonformat"/>
    <w:next w:val="897"/>
    <w:link w:val="888"/>
    <w:rPr>
      <w:rFonts w:ascii="Courier New" w:hAnsi="Courier New"/>
      <w:lang w:val="ru-RU" w:bidi="ar-SA" w:eastAsia="ru-RU"/>
    </w:rPr>
    <w:pPr>
      <w:widowControl w:val="off"/>
    </w:pPr>
  </w:style>
  <w:style w:type="character" w:styleId="898">
    <w:name w:val="ConsPlusNormal Знак"/>
    <w:next w:val="898"/>
    <w:link w:val="896"/>
    <w:rPr>
      <w:rFonts w:ascii="Arial" w:hAnsi="Arial"/>
      <w:lang w:val="ru-RU" w:bidi="ar-SA" w:eastAsia="ru-RU"/>
    </w:rPr>
  </w:style>
  <w:style w:type="paragraph" w:styleId="899">
    <w:name w:val="Название"/>
    <w:basedOn w:val="888"/>
    <w:next w:val="899"/>
    <w:link w:val="888"/>
    <w:rPr>
      <w:b/>
      <w:sz w:val="32"/>
    </w:rPr>
    <w:pPr>
      <w:jc w:val="center"/>
      <w:widowControl/>
    </w:pPr>
  </w:style>
  <w:style w:type="paragraph" w:styleId="900">
    <w:name w:val="Основной текст 3"/>
    <w:basedOn w:val="888"/>
    <w:next w:val="900"/>
    <w:link w:val="922"/>
    <w:rPr>
      <w:sz w:val="16"/>
      <w:szCs w:val="16"/>
    </w:rPr>
    <w:pPr>
      <w:spacing w:after="120"/>
      <w:widowControl/>
    </w:pPr>
  </w:style>
  <w:style w:type="character" w:styleId="901">
    <w:name w:val="Гиперссылка"/>
    <w:next w:val="901"/>
    <w:link w:val="888"/>
    <w:rPr>
      <w:color w:val="0000FF"/>
      <w:u w:val="single"/>
    </w:rPr>
  </w:style>
  <w:style w:type="paragraph" w:styleId="902">
    <w:name w:val="Обычный (веб)"/>
    <w:basedOn w:val="888"/>
    <w:next w:val="902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3">
    <w:name w:val="western"/>
    <w:basedOn w:val="888"/>
    <w:next w:val="903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4">
    <w:name w:val="Верхний колонтитул Знак"/>
    <w:next w:val="904"/>
    <w:link w:val="893"/>
    <w:rPr>
      <w:lang w:val="ru-RU" w:bidi="ar-SA" w:eastAsia="ru-RU"/>
    </w:rPr>
  </w:style>
  <w:style w:type="paragraph" w:styleId="905">
    <w:name w:val="Нижний колонтитул"/>
    <w:basedOn w:val="888"/>
    <w:next w:val="905"/>
    <w:link w:val="90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6">
    <w:name w:val="Нижний колонтитул Знак"/>
    <w:next w:val="906"/>
    <w:link w:val="905"/>
    <w:rPr>
      <w:sz w:val="28"/>
      <w:lang w:val="ru-RU" w:bidi="ar-SA" w:eastAsia="ru-RU"/>
    </w:rPr>
  </w:style>
  <w:style w:type="paragraph" w:styleId="907">
    <w:name w:val="Основной текст"/>
    <w:basedOn w:val="888"/>
    <w:next w:val="907"/>
    <w:link w:val="888"/>
    <w:pPr>
      <w:spacing w:after="120"/>
    </w:pPr>
  </w:style>
  <w:style w:type="paragraph" w:styleId="908">
    <w:name w:val="Основной текст с отступом"/>
    <w:basedOn w:val="888"/>
    <w:next w:val="908"/>
    <w:link w:val="888"/>
    <w:pPr>
      <w:ind w:left="283"/>
      <w:spacing w:after="120"/>
    </w:pPr>
  </w:style>
  <w:style w:type="paragraph" w:styleId="909">
    <w:name w:val="Основной текст с отступом 3"/>
    <w:basedOn w:val="888"/>
    <w:next w:val="909"/>
    <w:link w:val="888"/>
    <w:rPr>
      <w:sz w:val="16"/>
      <w:szCs w:val="16"/>
    </w:rPr>
    <w:pPr>
      <w:ind w:left="283"/>
      <w:spacing w:after="120"/>
    </w:pPr>
  </w:style>
  <w:style w:type="paragraph" w:styleId="910">
    <w:name w:val="ConsNonformat"/>
    <w:next w:val="910"/>
    <w:link w:val="88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1">
    <w:name w:val="ConsNormal"/>
    <w:next w:val="911"/>
    <w:link w:val="88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2">
    <w:name w:val="Таблицы (моноширинный)"/>
    <w:basedOn w:val="888"/>
    <w:next w:val="888"/>
    <w:link w:val="888"/>
    <w:rPr>
      <w:rFonts w:ascii="Courier New" w:hAnsi="Courier New"/>
    </w:rPr>
    <w:pPr>
      <w:jc w:val="both"/>
    </w:pPr>
  </w:style>
  <w:style w:type="character" w:styleId="913">
    <w:name w:val="Основной текст2"/>
    <w:next w:val="913"/>
    <w:link w:val="88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4">
    <w:name w:val="Абзац списка2"/>
    <w:basedOn w:val="888"/>
    <w:next w:val="914"/>
    <w:link w:val="88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5">
    <w:name w:val="No Spacing"/>
    <w:next w:val="915"/>
    <w:link w:val="888"/>
    <w:rPr>
      <w:rFonts w:ascii="Calibri" w:hAnsi="Calibri"/>
      <w:sz w:val="22"/>
      <w:szCs w:val="22"/>
      <w:lang w:val="ru-RU" w:bidi="ar-SA" w:eastAsia="ru-RU"/>
    </w:rPr>
  </w:style>
  <w:style w:type="character" w:styleId="916">
    <w:name w:val="Font Style48"/>
    <w:next w:val="916"/>
    <w:link w:val="888"/>
    <w:rPr>
      <w:rFonts w:ascii="Times New Roman" w:hAnsi="Times New Roman"/>
      <w:b/>
      <w:bCs/>
      <w:sz w:val="26"/>
      <w:szCs w:val="26"/>
    </w:rPr>
  </w:style>
  <w:style w:type="character" w:styleId="917">
    <w:name w:val="Font Style49"/>
    <w:next w:val="917"/>
    <w:link w:val="888"/>
    <w:rPr>
      <w:rFonts w:ascii="Times New Roman" w:hAnsi="Times New Roman"/>
      <w:sz w:val="26"/>
      <w:szCs w:val="26"/>
    </w:rPr>
  </w:style>
  <w:style w:type="character" w:styleId="918">
    <w:name w:val="Font Style30"/>
    <w:next w:val="918"/>
    <w:link w:val="888"/>
    <w:rPr>
      <w:rFonts w:ascii="Times New Roman" w:hAnsi="Times New Roman"/>
      <w:sz w:val="22"/>
      <w:szCs w:val="22"/>
    </w:rPr>
  </w:style>
  <w:style w:type="character" w:styleId="919">
    <w:name w:val="Font Style29"/>
    <w:next w:val="919"/>
    <w:link w:val="888"/>
    <w:rPr>
      <w:rFonts w:ascii="Times New Roman" w:hAnsi="Times New Roman"/>
      <w:b/>
      <w:bCs/>
      <w:sz w:val="22"/>
      <w:szCs w:val="22"/>
    </w:rPr>
  </w:style>
  <w:style w:type="paragraph" w:styleId="920">
    <w:name w:val="Абзац списка"/>
    <w:basedOn w:val="888"/>
    <w:next w:val="920"/>
    <w:link w:val="92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1">
    <w:name w:val="Абзац списка Знак"/>
    <w:next w:val="921"/>
    <w:link w:val="920"/>
    <w:rPr>
      <w:sz w:val="24"/>
      <w:szCs w:val="22"/>
      <w:lang w:val="en-US" w:bidi="en-US" w:eastAsia="en-US"/>
    </w:rPr>
  </w:style>
  <w:style w:type="character" w:styleId="922">
    <w:name w:val="Основной текст 3 Знак"/>
    <w:next w:val="922"/>
    <w:link w:val="900"/>
    <w:rPr>
      <w:sz w:val="16"/>
      <w:szCs w:val="16"/>
    </w:rPr>
  </w:style>
  <w:style w:type="character" w:styleId="923" w:default="1">
    <w:name w:val="Default Paragraph Font"/>
    <w:uiPriority w:val="1"/>
    <w:semiHidden/>
    <w:unhideWhenUsed/>
  </w:style>
  <w:style w:type="numbering" w:styleId="924" w:default="1">
    <w:name w:val="No List"/>
    <w:uiPriority w:val="99"/>
    <w:semiHidden/>
    <w:unhideWhenUsed/>
  </w:style>
  <w:style w:type="paragraph" w:styleId="925" w:default="1">
    <w:name w:val="Normal"/>
    <w:qFormat/>
  </w:style>
  <w:style w:type="table" w:styleId="926" w:default="1">
    <w:name w:val="Normal Table"/>
    <w:uiPriority w:val="99"/>
    <w:semiHidden/>
    <w:unhideWhenUsed/>
    <w:tblPr/>
  </w:style>
  <w:style w:type="character" w:styleId="927" w:customStyle="1">
    <w:name w:val="Основной текст Знак"/>
    <w:rPr>
      <w:rFonts w:ascii="Times New Roman" w:hAnsi="Times New Roman" w:eastAsia="Times New Roman"/>
      <w:sz w:val="28"/>
      <w:szCs w:val="20"/>
      <w:lang w:eastAsia="ru-RU"/>
    </w:rPr>
  </w:style>
  <w:style w:type="paragraph" w:styleId="928">
    <w:name w:val="Normal (Web)"/>
    <w:basedOn w:val="768"/>
    <w:uiPriority w:val="99"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2025-04-01T11:08:16Z</dcterms:modified>
</cp:coreProperties>
</file>