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</w:t>
      </w:r>
      <w:r>
        <w:rPr>
          <w:b/>
          <w:sz w:val="28"/>
          <w:szCs w:val="28"/>
        </w:rPr>
        <w:t xml:space="preserve">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66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66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66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заместителя </w:t>
      </w:r>
      <w:r>
        <w:rPr>
          <w:color w:val="000000"/>
          <w:sz w:val="24"/>
          <w:szCs w:val="24"/>
        </w:rPr>
        <w:t xml:space="preserve">начальника </w:t>
      </w:r>
      <w:r>
        <w:rPr>
          <w:color w:val="000000"/>
          <w:sz w:val="24"/>
          <w:szCs w:val="24"/>
        </w:rPr>
        <w:t xml:space="preserve">управления </w:t>
      </w:r>
      <w:r>
        <w:rPr>
          <w:color w:val="000000"/>
          <w:sz w:val="24"/>
          <w:szCs w:val="24"/>
        </w:rPr>
        <w:t xml:space="preserve">городского хозяйства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городского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67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67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управления городского 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673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  <w:r>
        <w:rPr>
          <w:b/>
          <w:bCs/>
          <w:color w:val="000000"/>
          <w:sz w:val="24"/>
          <w:szCs w:val="24"/>
        </w:rPr>
      </w:r>
      <w:r/>
    </w:p>
    <w:p>
      <w:pPr>
        <w:pStyle w:val="66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66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66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205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66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66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66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205" w:type="dxa"/>
            <w:vAlign w:val="center"/>
            <w:textDirection w:val="lrTb"/>
            <w:noWrap w:val="false"/>
          </w:tcPr>
          <w:p>
            <w:pPr>
              <w:pStyle w:val="66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66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6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6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</w:t>
            </w:r>
            <w:r>
              <w:rPr>
                <w:color w:val="000000"/>
                <w:sz w:val="24"/>
                <w:szCs w:val="24"/>
              </w:rPr>
              <w:t xml:space="preserve">городского хозяйства</w:t>
            </w:r>
            <w:r>
              <w:rPr>
                <w:color w:val="000000"/>
                <w:sz w:val="24"/>
                <w:szCs w:val="24"/>
              </w:rPr>
              <w:t xml:space="preserve"> администрации Новооскольского городского округа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205" w:type="dxa"/>
            <w:vAlign w:val="top"/>
            <w:textDirection w:val="lrTb"/>
            <w:noWrap w:val="false"/>
          </w:tcPr>
          <w:p>
            <w:pPr>
              <w:pStyle w:val="6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6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66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66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66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66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1843"/>
        <w:gridCol w:w="7229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66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pStyle w:val="66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center"/>
            <w:textDirection w:val="lrTb"/>
            <w:noWrap w:val="false"/>
          </w:tcPr>
          <w:p>
            <w:pPr>
              <w:pStyle w:val="66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6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городского хозяйства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6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знанием государственного языка Российской Федерации (русского языка);</w:t>
            </w:r>
            <w:r/>
          </w:p>
          <w:p>
            <w:pPr>
              <w:pStyle w:val="6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правовыми знаниями основ: </w:t>
            </w:r>
            <w:r/>
          </w:p>
          <w:p>
            <w:pPr>
              <w:pStyle w:val="6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Конституции Российской Федерации;</w:t>
            </w:r>
            <w:r/>
          </w:p>
          <w:p>
            <w:pPr>
              <w:pStyle w:val="6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Федерального закона от 6 октября 2003 года № 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6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Федерального закона от 2 марта 2007 года № 25-ФЗ </w:t>
            </w:r>
            <w:r>
              <w:rPr>
                <w:color w:val="000000"/>
                <w:sz w:val="24"/>
                <w:szCs w:val="24"/>
              </w:rPr>
              <w:t xml:space="preserve">                              </w:t>
            </w:r>
            <w:r>
              <w:rPr>
                <w:color w:val="000000"/>
                <w:sz w:val="24"/>
                <w:szCs w:val="24"/>
              </w:rPr>
              <w:t xml:space="preserve">«О муниципальной службе в Российской Федерации»;</w:t>
            </w:r>
            <w:r/>
          </w:p>
          <w:p>
            <w:pPr>
              <w:pStyle w:val="6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законодательства о противодействии коррупции;</w:t>
            </w:r>
            <w:r/>
          </w:p>
          <w:p>
            <w:pPr>
              <w:pStyle w:val="664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закона Белгородской области от 24 сентября 2007 года № 150                     «Об особенностях организации муниципальной службы в Белгородской области». 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6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66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6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6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городского хозяйства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 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Трудовой кодекс Российской Федерации; 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Жилищный кодекс Российской Федерации; 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Бюджетный кодекс Российской Федерации;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Градостроительный кодекс Российской Федерации;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Лесной кодекс Российской Федерации;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Водный кодекс Российской Федерации;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Воздушный кодекс Российской Федерации;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21 февраля 1992 года № 2395-1 «О недрах»;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24 июня  1998 года № 89-ФЗ «Об отходах производства и потребления»;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21 декабря 2001 года № 178-ФЗ «О приватизации государственного и муниципального имущества»;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Федерации от 27 июля 2006 года     № 152-ФЗ «О персональных данных»;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27 июля 2010 года № 210-ФЗ «Об организации предоставления государственных и муниципальных услуг»;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02 мая 2006 года № 59-ФЗ «О порядке рассмотрения обращений граждан Российской Федерации»;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25 декабря 2008 года № 273-ФЗ                             «О противодействии коррупции»;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14 ноября 2002 года № 161-ФЗ                               «О государственных и муниципальных предприятиях»;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7 мая 2012 года № 601        «Об основных направлениях совершенствования системы государственного управления;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18 мая 2009 года № 559 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характера»;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23 июня 2014 года № 460 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«Об утверждении формы справки о доходах, расходах, об имуществе 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обязательствах имущественного характера и внесении изменений в некоторые акты Президента Российской Федерации».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22 декабря 2015 года № 3</w:t>
            </w:r>
            <w:r>
              <w:rPr>
                <w:sz w:val="24"/>
                <w:szCs w:val="24"/>
              </w:rPr>
              <w:t xml:space="preserve">7                               «О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 и органами государственной власти Белгородской области»;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31 декабря 2003 года № 111                 «Об особенностях оборота земель сельскохозяйственного назначения в Белгородской области»; 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01 октября 2014 года № </w:t>
            </w:r>
            <w:r>
              <w:rPr>
                <w:sz w:val="24"/>
                <w:szCs w:val="24"/>
              </w:rPr>
              <w:t xml:space="preserve">294               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3 апреля 2015 года № 345                </w:t>
            </w:r>
            <w:r>
              <w:rPr>
                <w:sz w:val="24"/>
                <w:szCs w:val="24"/>
              </w:rPr>
              <w:t xml:space="preserve">     «Об установлении критериев, которым должны соответствовать объекты социально-культурного и коммунально-бытового назначения, инвестиционные проекты, для размещения (реализации) которых земельные участки предоставляются в аренду без проведения торгов»; 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29 декабря 20</w:t>
            </w:r>
            <w:r>
              <w:rPr>
                <w:sz w:val="24"/>
                <w:szCs w:val="24"/>
              </w:rPr>
              <w:t xml:space="preserve">16 года № 137                 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деятельности»; 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25 декабря 2017 года № 233                   «О реализации в Белгородской области отдельных положений Земельного кодекса Российской Федерации»;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постановление главы администрации муниципального района Новооскольский район» от 05 ноября 2013 года № 1451 «Об утверждении генеральной схемы очистки города Новый Оскол»;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постановление администрации Новооскольского городского округа                от 12 июля 2019 года № 373 «Об утверждении Положения о работе с обращениями граждан и организаций в администрации Новооскольского городского округа».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г) Иные знания: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виды обращений граждан и порядок подготовки ответов на обращения граждан;</w:t>
            </w:r>
            <w:r/>
          </w:p>
          <w:p>
            <w:pPr>
              <w:pStyle w:val="66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сроки рассмотрения обращений граждан.         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6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2 марта 2007 года № 25-ФЗ «О муниципальной службе в Российской Федерации»;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Соблюдать правила делопроизводства, </w:t>
      </w:r>
      <w:r>
        <w:rPr>
          <w:sz w:val="24"/>
          <w:szCs w:val="24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Соблюдать установленный служебный распорядок, Типовой кодекс этики и служебного поведения государственных служащих Российской Федерации и муниципальных служащих, правила содержания служебных помещений и правила пожарной безопасности;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10. Совместно со структурными подразделениями администрации Ново</w:t>
      </w:r>
      <w:r>
        <w:rPr>
          <w:sz w:val="24"/>
          <w:szCs w:val="24"/>
        </w:rPr>
        <w:t xml:space="preserve">оскольского городского округа, территориальными администрациями   Новооскольского городского округа, предприятиями и организациями всех форм собственности организует разработку целевых программ по инженерному обеспечению Новооскольского  городского округа.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</w:t>
      </w:r>
      <w:r>
        <w:rPr>
          <w:sz w:val="24"/>
          <w:szCs w:val="24"/>
        </w:rPr>
        <w:t xml:space="preserve">ествляет дорожную деятельность в отношении автомобильных дорог местного значения в границах Новооскольского городского округа и обеспечение безопасности дорожного движения на них, включая создание и обеспечение функционирования парковок (парковочных мест).</w:t>
      </w:r>
      <w:r/>
    </w:p>
    <w:p>
      <w:pPr>
        <w:pStyle w:val="664"/>
        <w:ind w:firstLine="540"/>
        <w:jc w:val="both"/>
      </w:pPr>
      <w:r>
        <w:rPr>
          <w:sz w:val="24"/>
          <w:szCs w:val="24"/>
        </w:rPr>
        <w:t xml:space="preserve">12. Осуществляет муниципальный контроль за со</w:t>
      </w:r>
      <w:r>
        <w:rPr>
          <w:sz w:val="24"/>
          <w:szCs w:val="24"/>
        </w:rPr>
        <w:t xml:space="preserve">хранностью автомобильных дорог местного значения в границах Новооскольского городского округа, а также осуществляет иные полномочия в области использования автомобильных дорог и дорожной деятельности в соответствии с законодательством Российской Федерации.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Создаёт условия для предоставления транспортных услуг населению и организации транспортного обслуживания населения в границах Новооскольского городского округа.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Создает условия для массового отдыха жителей Новооскольского городского округа и организует обустройства мест массового отдыха населения.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Принимает участие в благоустройстве территории Новооскольского городского округа в соответствии с правилами благоустройства.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Принимает участие в обеспечении вып</w:t>
      </w:r>
      <w:r>
        <w:rPr>
          <w:sz w:val="24"/>
          <w:szCs w:val="24"/>
        </w:rPr>
        <w:t xml:space="preserve">олнения работ, необходимых для создания искусственных земельных участков для нужд Новооскольского городского округа, проведения открытого аукциона на право заключить договор о создании искусственного земельного участка в соответствии с федеральным законом.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18. Организует мероприятия по отлову и содержанию безнадзорных животных, обитающих на территории Новооскольского городского округа.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Разрабатывает и утверждает программы комплексного развития систем транспортной инфраструктуры Новооскольского городского округа, требования к которым устанавливаются Правительством Российской Федерации.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Готовит аналитическую информацию по вопросам подготовки и реализации программ.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Участвует в подготовке проектов постановлений и распоряжений   администрации Новооскольского городского округа, других нормативно-правовых документов, относящихся к компетенции управления.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Разрабатывает перспективные и текущие прогнозы по основным показателям целевых программ округа.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Контролирует ход выполнения постановлений, распоряжений, указаний и поручений главы администрации Новооскольского городского округа,  относящихся к компетенции управления.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27. Рассматривает заявления, обращения граждан и принимает по ним соответствующие решения и меры.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28. Вносит предложения для формирования планов закупок товаров, работ (услуг) администрации Новооскольского городского округа в пределах компетенции отдела.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29. Осуществляет контроль за подготовкой еженедельной, ежемесячной, ежеквартальной и годовой отчетности.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30. Контролирует и о</w:t>
      </w:r>
      <w:r>
        <w:rPr>
          <w:sz w:val="24"/>
          <w:szCs w:val="24"/>
        </w:rPr>
        <w:t xml:space="preserve">рганизовывает разработку административных регламентов в соответствии с порядком разработки и утверждения административных регламентов предоставления муниципальных услуг отраслевыми и функциональными органами администрации Новооскольского городского округа.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31. Формирует  муниципальный заказ  на перевозки пассажиров в пригородном и городском  сообщении.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32. Упорядочивает деятельность перевозчиков на пассажирских маршрутах.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33. Принимает участие в комиссионном обследовании  городских и пригородных маршрутов.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34. Участвует в разработке, организации и реализации мероприятий праздничного, тематического оформления на территории города Новый Оскол и координирует деятельности  в границах Новооскольского городского округа. 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5. Участвует в разработке, организации и реализации муниципальных программ в сфере благоустройства, дорожного строительства.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6. Контролирует формирование муниципальных маршрутов и ведение реестра маршрутов.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7. Рассматривает предложения об установлении, изменении, отмене муниципальных маршрутов регулярных перевозок.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8. Принимает участие в разработке графиков и расписание движения транспорта общего пользования в соответствии с потребностью населения в транспортных услугах.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9. Принимает участие в заключении муниципальных контрактов на право выполнения работ, связанных с осуществлением регулярных перевозок по регулируемым и нерегулируемым тарифам.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40</w:t>
      </w:r>
      <w:r>
        <w:rPr>
          <w:sz w:val="24"/>
          <w:szCs w:val="24"/>
        </w:rPr>
        <w:t xml:space="preserve">. Принимает участие в проведении открытых конкурсов на право осуществления перевозок по маршрутам регулярных перевозок по регулируемым и нерегулируемым тарифам.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1. Осуществляет контроль за выдачей свидетельств об осуществлении перевозок по маршруту регулярных перевозок, карты маршрутов регулярных перевозок, ведет реестр свидетельств и карт маршрутов регулярных перевозок.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2. Осуществляет контроль за исполнением перевозчиками требований нормативных правовых актов по перевозкам пассажиров и багажа и принятых договорных обязательств.</w:t>
      </w:r>
      <w:r/>
    </w:p>
    <w:p>
      <w:pPr>
        <w:pStyle w:val="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</w:t>
      </w:r>
      <w:r>
        <w:rPr>
          <w:sz w:val="24"/>
          <w:szCs w:val="24"/>
        </w:rPr>
        <w:t xml:space="preserve">3. Разрабатывает предложения по обеспечению необходимой транспортной инфраструктуры.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4. Организует капитальный ремонт, ремонт и содержание объектов дорожного хозяйства, входящих в состав муниципальной собственности.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5. Участвует в разработке предложений и реализации мероприятий по повышению безопасности дорожного движения в соответствии с муниципальными программами Новооскольского городского округа.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0.  Подготавливает предложения по программам, направленным на дальнейшее развитие инженерной инфраструктуры округа, в рамках инвестиционных программ строительства, реконструкции автомобильных дорог.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1. Организует, разрабатывает и выполняет мероприятия, обеспечивающие финансирование и материальное обеспечение работ по реализации целевых программ.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2. Оказывает помощь заказчикам и подрядным организациям в реализации целевых программ Новооскольского городского округа.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4. Осуществляет контроль за ремонтом и строительством объектов различного назначения, где заказчиком выступает управление.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6. Контролирует порядок подготовки конкурсной документации для проведения аукционов, конкурсов.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7. Контролирует работу по организации проведения конкурса на право заключения договора на пассажирские перевозки автомобильным транспортом общего пользования на территории Новооскольского городского округа.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8. Осуществляет контроль за подготов</w:t>
      </w:r>
      <w:r>
        <w:rPr>
          <w:sz w:val="24"/>
          <w:szCs w:val="24"/>
        </w:rPr>
        <w:t xml:space="preserve">кой документов для финансирования расходов на возмещение выпадающих доходов перевозчиков от реализации единых социальных проездных билетов, льготных билетов учащихся школ и студентов в городском пассажирском транспорте и в автобусах пригородного сообщения.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9. Участвует в организации в границах Новооскольского городского округа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0. Осуществляет в ценовых зонах теплоснабжения муниципальный контроль за выполнением единой теплоснабжающей организацией мероприятий по строительству, реконструкции и (или) модернизации объ</w:t>
      </w:r>
      <w:r>
        <w:rPr>
          <w:sz w:val="24"/>
          <w:szCs w:val="24"/>
        </w:rPr>
        <w:t xml:space="preserve">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законом от 27 июля 2010 года № 190-ФЗ </w:t>
      </w:r>
      <w:r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«О теплоснабжении».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1. Осуществляет муниципальный жилищный контроль.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62</w:t>
      </w:r>
      <w:r>
        <w:rPr>
          <w:sz w:val="24"/>
          <w:szCs w:val="24"/>
        </w:rPr>
        <w:t xml:space="preserve">. Принимает участие в организации ритуальных услуг и содержания мест захоронения.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3. Принимает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4. Наделен полномочиями по организации теплоснабжения, предусмотренными Федеральным законом от 27 июля </w:t>
      </w:r>
      <w:r>
        <w:rPr>
          <w:sz w:val="24"/>
          <w:szCs w:val="24"/>
        </w:rPr>
        <w:t xml:space="preserve">2010 года № 190-ФЗ</w:t>
      </w:r>
      <w:r>
        <w:rPr>
          <w:sz w:val="24"/>
          <w:szCs w:val="24"/>
        </w:rPr>
        <w:t xml:space="preserve"> «О теплоснабжении».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5. Наделен полномочиями в сфере водоснабжения и водоотведения, предусмотренными Федеральным законом  от 7 декабр</w:t>
      </w:r>
      <w:r>
        <w:rPr>
          <w:sz w:val="24"/>
          <w:szCs w:val="24"/>
        </w:rPr>
        <w:t xml:space="preserve">я 2011 года № 416-ФЗ                     </w:t>
      </w:r>
      <w:r>
        <w:rPr>
          <w:sz w:val="24"/>
          <w:szCs w:val="24"/>
        </w:rPr>
        <w:t xml:space="preserve">«О водоснабжении и водоотведении».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6. Участвует в разработке и утверждении программ комплексного развития систем коммунальной инфраструктуры Новооскольского городского округа.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7. Утверждает и участвует в реализации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</w:t>
      </w:r>
      <w:r>
        <w:rPr>
          <w:sz w:val="24"/>
          <w:szCs w:val="24"/>
        </w:rPr>
        <w:t xml:space="preserve">ных домов, помещения в которых составляют муниципальный жилищный фонд в границах Новооскольского городского округа, организация и проведение иных мероприятий, предусмотренных законодательством об энергосбережении и о повышении энергетической эффективности.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8. Контролирует исполнение энергосервисных контрактов.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9. организует работу по</w:t>
      </w:r>
      <w:r>
        <w:rPr>
          <w:sz w:val="24"/>
          <w:szCs w:val="24"/>
        </w:rPr>
        <w:t xml:space="preserve">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0. Принимает участие в заключении муниципальных контрактов на право выполнения работ, связанных с оказанием услуг по техническому обслуживанию сетей наружного освещения.</w:t>
      </w:r>
      <w:r/>
    </w:p>
    <w:p>
      <w:pPr>
        <w:pStyle w:val="66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1. Осуществляет контроль за ведением схемы размещения контейнеров для сбора твердых коммунальных отходов.</w:t>
      </w:r>
      <w:r/>
    </w:p>
    <w:p>
      <w:pPr>
        <w:pStyle w:val="67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7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66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66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66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66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66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664"/>
        <w:ind w:firstLine="567"/>
        <w:jc w:val="both"/>
        <w:rPr>
          <w:rStyle w:val="694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694"/>
          <w:sz w:val="24"/>
          <w:szCs w:val="24"/>
        </w:rPr>
      </w:r>
      <w:r/>
    </w:p>
    <w:p>
      <w:pPr>
        <w:pStyle w:val="67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67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67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7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</w:t>
      </w:r>
      <w:r>
        <w:rPr>
          <w:rFonts w:ascii="Times New Roman" w:hAnsi="Times New Roman"/>
          <w:sz w:val="24"/>
          <w:szCs w:val="24"/>
        </w:rPr>
        <w:t xml:space="preserve">24 ноября 2020</w:t>
      </w:r>
      <w:r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 xml:space="preserve">538</w:t>
      </w:r>
      <w:r>
        <w:rPr>
          <w:rFonts w:ascii="Times New Roman" w:hAnsi="Times New Roman"/>
          <w:sz w:val="24"/>
          <w:szCs w:val="24"/>
        </w:rPr>
        <w:t xml:space="preserve">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7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67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673"/>
        <w:ind w:firstLine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с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67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66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66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08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67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67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67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66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9"/>
      <w:rPr>
        <w:rStyle w:val="670"/>
      </w:rPr>
      <w:framePr w:wrap="around" w:vAnchor="text" w:hAnchor="margin" w:xAlign="center" w:y="1"/>
    </w:pPr>
    <w:r>
      <w:rPr>
        <w:rStyle w:val="670"/>
      </w:rPr>
      <w:fldChar w:fldCharType="begin"/>
    </w:r>
    <w:r>
      <w:rPr>
        <w:rStyle w:val="670"/>
      </w:rPr>
      <w:instrText xml:space="preserve">PAGE  </w:instrText>
    </w:r>
    <w:r>
      <w:rPr>
        <w:rStyle w:val="670"/>
      </w:rPr>
      <w:fldChar w:fldCharType="separate"/>
    </w:r>
    <w:r>
      <w:rPr>
        <w:rStyle w:val="670"/>
      </w:rPr>
      <w:t xml:space="preserve">8</w:t>
    </w:r>
    <w:r>
      <w:rPr>
        <w:rStyle w:val="670"/>
      </w:rPr>
      <w:fldChar w:fldCharType="end"/>
    </w:r>
    <w:r>
      <w:rPr>
        <w:rStyle w:val="670"/>
      </w:rPr>
    </w:r>
    <w:r/>
  </w:p>
  <w:p>
    <w:pPr>
      <w:pStyle w:val="66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9"/>
      <w:rPr>
        <w:rStyle w:val="670"/>
      </w:rPr>
      <w:framePr w:wrap="around" w:vAnchor="text" w:hAnchor="margin" w:xAlign="center" w:y="1"/>
    </w:pPr>
    <w:r>
      <w:rPr>
        <w:rStyle w:val="670"/>
      </w:rPr>
      <w:fldChar w:fldCharType="begin"/>
    </w:r>
    <w:r>
      <w:rPr>
        <w:rStyle w:val="670"/>
      </w:rPr>
      <w:instrText xml:space="preserve">PAGE  </w:instrText>
    </w:r>
    <w:r>
      <w:rPr>
        <w:rStyle w:val="670"/>
      </w:rPr>
      <w:fldChar w:fldCharType="end"/>
    </w:r>
    <w:r>
      <w:rPr>
        <w:rStyle w:val="670"/>
      </w:rPr>
    </w:r>
    <w:r/>
  </w:p>
  <w:p>
    <w:pPr>
      <w:pStyle w:val="66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66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6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66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66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66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66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66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66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66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66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6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66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6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66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6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66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66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6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6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6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6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6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6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6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64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6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6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66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66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66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66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66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66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66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664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66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6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66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66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66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66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66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66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66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664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66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6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6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6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6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6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6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6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6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6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66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66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664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664">
    <w:name w:val="Обычный"/>
    <w:next w:val="664"/>
    <w:link w:val="664"/>
    <w:rPr>
      <w:lang w:val="ru-RU" w:bidi="ar-SA" w:eastAsia="ru-RU"/>
    </w:rPr>
    <w:pPr>
      <w:widowControl w:val="off"/>
    </w:pPr>
  </w:style>
  <w:style w:type="character" w:styleId="665">
    <w:name w:val="Основной шрифт абзаца"/>
    <w:next w:val="665"/>
    <w:link w:val="664"/>
    <w:semiHidden/>
  </w:style>
  <w:style w:type="table" w:styleId="666">
    <w:name w:val="Обычная таблица"/>
    <w:next w:val="666"/>
    <w:link w:val="664"/>
    <w:semiHidden/>
    <w:tblPr/>
  </w:style>
  <w:style w:type="numbering" w:styleId="667">
    <w:name w:val="Нет списка"/>
    <w:next w:val="667"/>
    <w:link w:val="664"/>
    <w:semiHidden/>
  </w:style>
  <w:style w:type="paragraph" w:styleId="668">
    <w:name w:val="Текст выноски"/>
    <w:basedOn w:val="664"/>
    <w:next w:val="668"/>
    <w:link w:val="664"/>
    <w:semiHidden/>
    <w:rPr>
      <w:rFonts w:ascii="Tahoma" w:hAnsi="Tahoma"/>
      <w:sz w:val="16"/>
      <w:szCs w:val="16"/>
    </w:rPr>
  </w:style>
  <w:style w:type="paragraph" w:styleId="669">
    <w:name w:val="Верхний колонтитул"/>
    <w:basedOn w:val="664"/>
    <w:next w:val="669"/>
    <w:link w:val="680"/>
    <w:pPr>
      <w:tabs>
        <w:tab w:val="center" w:pos="4677" w:leader="none"/>
        <w:tab w:val="right" w:pos="9355" w:leader="none"/>
      </w:tabs>
    </w:pPr>
  </w:style>
  <w:style w:type="character" w:styleId="670">
    <w:name w:val="Номер страницы"/>
    <w:basedOn w:val="665"/>
    <w:next w:val="670"/>
    <w:link w:val="664"/>
  </w:style>
  <w:style w:type="table" w:styleId="671">
    <w:name w:val="Сетка таблицы"/>
    <w:basedOn w:val="666"/>
    <w:next w:val="671"/>
    <w:link w:val="664"/>
    <w:tblPr/>
  </w:style>
  <w:style w:type="paragraph" w:styleId="672">
    <w:name w:val="ConsPlusNormal"/>
    <w:next w:val="672"/>
    <w:link w:val="67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673">
    <w:name w:val="ConsPlusNonformat"/>
    <w:next w:val="673"/>
    <w:link w:val="664"/>
    <w:rPr>
      <w:rFonts w:ascii="Courier New" w:hAnsi="Courier New"/>
      <w:lang w:val="ru-RU" w:bidi="ar-SA" w:eastAsia="ru-RU"/>
    </w:rPr>
    <w:pPr>
      <w:widowControl w:val="off"/>
    </w:pPr>
  </w:style>
  <w:style w:type="character" w:styleId="674">
    <w:name w:val="ConsPlusNormal Знак"/>
    <w:next w:val="674"/>
    <w:link w:val="672"/>
    <w:rPr>
      <w:rFonts w:ascii="Arial" w:hAnsi="Arial"/>
      <w:lang w:val="ru-RU" w:bidi="ar-SA" w:eastAsia="ru-RU"/>
    </w:rPr>
  </w:style>
  <w:style w:type="paragraph" w:styleId="675">
    <w:name w:val="Название"/>
    <w:basedOn w:val="664"/>
    <w:next w:val="675"/>
    <w:link w:val="664"/>
    <w:rPr>
      <w:b/>
      <w:sz w:val="32"/>
    </w:rPr>
    <w:pPr>
      <w:jc w:val="center"/>
      <w:widowControl/>
    </w:pPr>
  </w:style>
  <w:style w:type="paragraph" w:styleId="676">
    <w:name w:val="Основной текст 3"/>
    <w:basedOn w:val="664"/>
    <w:next w:val="676"/>
    <w:link w:val="664"/>
    <w:rPr>
      <w:sz w:val="16"/>
      <w:szCs w:val="16"/>
    </w:rPr>
    <w:pPr>
      <w:spacing w:after="120"/>
      <w:widowControl/>
    </w:pPr>
  </w:style>
  <w:style w:type="character" w:styleId="677">
    <w:name w:val="Гиперссылка"/>
    <w:next w:val="677"/>
    <w:link w:val="664"/>
    <w:rPr>
      <w:color w:val="0000FF"/>
      <w:u w:val="single"/>
    </w:rPr>
  </w:style>
  <w:style w:type="paragraph" w:styleId="678">
    <w:name w:val="Обычный (веб)"/>
    <w:basedOn w:val="664"/>
    <w:next w:val="678"/>
    <w:link w:val="66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679">
    <w:name w:val="western"/>
    <w:basedOn w:val="664"/>
    <w:next w:val="679"/>
    <w:link w:val="66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680">
    <w:name w:val="Верхний колонтитул Знак"/>
    <w:next w:val="680"/>
    <w:link w:val="669"/>
    <w:rPr>
      <w:lang w:val="ru-RU" w:bidi="ar-SA" w:eastAsia="ru-RU"/>
    </w:rPr>
  </w:style>
  <w:style w:type="paragraph" w:styleId="681">
    <w:name w:val="Нижний колонтитул"/>
    <w:basedOn w:val="664"/>
    <w:next w:val="681"/>
    <w:link w:val="68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682">
    <w:name w:val="Нижний колонтитул Знак"/>
    <w:next w:val="682"/>
    <w:link w:val="681"/>
    <w:rPr>
      <w:sz w:val="28"/>
      <w:lang w:val="ru-RU" w:bidi="ar-SA" w:eastAsia="ru-RU"/>
    </w:rPr>
  </w:style>
  <w:style w:type="paragraph" w:styleId="683">
    <w:name w:val="Основной текст"/>
    <w:basedOn w:val="664"/>
    <w:next w:val="683"/>
    <w:link w:val="664"/>
    <w:pPr>
      <w:spacing w:after="120"/>
    </w:pPr>
  </w:style>
  <w:style w:type="paragraph" w:styleId="684">
    <w:name w:val="Основной текст с отступом"/>
    <w:basedOn w:val="664"/>
    <w:next w:val="684"/>
    <w:link w:val="664"/>
    <w:pPr>
      <w:ind w:left="283"/>
      <w:spacing w:after="120"/>
    </w:pPr>
  </w:style>
  <w:style w:type="paragraph" w:styleId="685">
    <w:name w:val="Основной текст с отступом 3"/>
    <w:basedOn w:val="664"/>
    <w:next w:val="685"/>
    <w:link w:val="664"/>
    <w:rPr>
      <w:sz w:val="16"/>
      <w:szCs w:val="16"/>
    </w:rPr>
    <w:pPr>
      <w:ind w:left="283"/>
      <w:spacing w:after="120"/>
    </w:pPr>
  </w:style>
  <w:style w:type="paragraph" w:styleId="686">
    <w:name w:val="ConsNonformat"/>
    <w:next w:val="686"/>
    <w:link w:val="66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687">
    <w:name w:val="ConsNormal"/>
    <w:next w:val="687"/>
    <w:link w:val="66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688">
    <w:name w:val="Таблицы (моноширинный)"/>
    <w:basedOn w:val="664"/>
    <w:next w:val="664"/>
    <w:link w:val="664"/>
    <w:rPr>
      <w:rFonts w:ascii="Courier New" w:hAnsi="Courier New"/>
    </w:rPr>
    <w:pPr>
      <w:jc w:val="both"/>
    </w:pPr>
  </w:style>
  <w:style w:type="character" w:styleId="689">
    <w:name w:val="Основной текст2"/>
    <w:next w:val="689"/>
    <w:link w:val="66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690">
    <w:name w:val="ConsPlusTitle"/>
    <w:next w:val="690"/>
    <w:link w:val="66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691">
    <w:name w:val="No Spacing"/>
    <w:next w:val="691"/>
    <w:link w:val="664"/>
    <w:rPr>
      <w:rFonts w:ascii="Calibri" w:hAnsi="Calibri"/>
      <w:sz w:val="22"/>
      <w:szCs w:val="22"/>
      <w:lang w:val="ru-RU" w:bidi="ar-SA" w:eastAsia="ru-RU"/>
    </w:rPr>
  </w:style>
  <w:style w:type="character" w:styleId="692">
    <w:name w:val="Font Style48"/>
    <w:next w:val="692"/>
    <w:link w:val="664"/>
    <w:rPr>
      <w:rFonts w:ascii="Times New Roman" w:hAnsi="Times New Roman"/>
      <w:b/>
      <w:bCs/>
      <w:sz w:val="26"/>
      <w:szCs w:val="26"/>
    </w:rPr>
  </w:style>
  <w:style w:type="character" w:styleId="693">
    <w:name w:val="Font Style49"/>
    <w:next w:val="693"/>
    <w:link w:val="664"/>
    <w:rPr>
      <w:rFonts w:ascii="Times New Roman" w:hAnsi="Times New Roman"/>
      <w:sz w:val="26"/>
      <w:szCs w:val="26"/>
    </w:rPr>
  </w:style>
  <w:style w:type="character" w:styleId="694">
    <w:name w:val="Font Style30"/>
    <w:next w:val="694"/>
    <w:link w:val="664"/>
    <w:rPr>
      <w:rFonts w:ascii="Times New Roman" w:hAnsi="Times New Roman"/>
      <w:sz w:val="22"/>
      <w:szCs w:val="22"/>
    </w:rPr>
  </w:style>
  <w:style w:type="character" w:styleId="695">
    <w:name w:val="Font Style29"/>
    <w:next w:val="695"/>
    <w:link w:val="664"/>
    <w:rPr>
      <w:rFonts w:ascii="Times New Roman" w:hAnsi="Times New Roman"/>
      <w:b/>
      <w:bCs/>
      <w:sz w:val="22"/>
      <w:szCs w:val="22"/>
    </w:rPr>
  </w:style>
  <w:style w:type="character" w:styleId="1790" w:default="1">
    <w:name w:val="Default Paragraph Font"/>
    <w:uiPriority w:val="1"/>
    <w:semiHidden/>
    <w:unhideWhenUsed/>
  </w:style>
  <w:style w:type="numbering" w:styleId="1791" w:default="1">
    <w:name w:val="No List"/>
    <w:uiPriority w:val="99"/>
    <w:semiHidden/>
    <w:unhideWhenUsed/>
  </w:style>
  <w:style w:type="paragraph" w:styleId="1792" w:default="1">
    <w:name w:val="Normal"/>
    <w:qFormat/>
  </w:style>
  <w:style w:type="table" w:styleId="179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2024-09-04T11:25:27Z</dcterms:modified>
</cp:coreProperties>
</file>