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</w:t>
      </w:r>
      <w:r>
        <w:rPr>
          <w:sz w:val="24"/>
          <w:szCs w:val="24"/>
        </w:rPr>
        <w:t xml:space="preserve"> отдела </w:t>
      </w:r>
      <w:r>
        <w:rPr>
          <w:sz w:val="24"/>
          <w:szCs w:val="24"/>
        </w:rPr>
        <w:t xml:space="preserve">социального обслуживания населения</w:t>
      </w:r>
      <w:r>
        <w:rPr>
          <w:sz w:val="24"/>
          <w:szCs w:val="24"/>
        </w:rPr>
        <w:t xml:space="preserve"> управления социальной защиты населения администрации 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9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 xml:space="preserve">социального обслуживания населения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42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 xml:space="preserve">социального обслуживания населения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7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 xml:space="preserve">социального обслуживания населения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0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0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0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Муниципальный служащий </w:t>
      </w:r>
      <w:r>
        <w:rPr>
          <w:color w:val="000000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проводит информационно-разъяснительную работу об организации социального обслуживания и порядках предоставления социальных услуг;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осуществляет прием граждан по вопросам назначения выплат, осуществляемых отделом, производит сверку документов и на основании этой сверки заверяет копии документов;</w:t>
      </w:r>
      <w:r/>
    </w:p>
    <w:p>
      <w:pPr>
        <w:pStyle w:val="890"/>
        <w:jc w:val="both"/>
        <w:tabs>
          <w:tab w:val="left" w:pos="9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формирует и направляет запросы в установленном порядке в государственные органы, предприятия</w:t>
      </w:r>
      <w:r>
        <w:rPr>
          <w:sz w:val="24"/>
          <w:szCs w:val="24"/>
        </w:rPr>
        <w:t xml:space="preserve">, учреждения, организации, общественные объединения, другие функциональные органы и структурные подразделения администрации Новооскольского городского округа о предоставлении сведений и информации, необходимых для исполнения своих должностных обязанностей;</w:t>
      </w:r>
      <w:r/>
    </w:p>
    <w:p>
      <w:pPr>
        <w:pStyle w:val="890"/>
        <w:jc w:val="both"/>
        <w:tabs>
          <w:tab w:val="left" w:pos="9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устанавливает право заявителя на наз</w:t>
      </w:r>
      <w:r>
        <w:rPr>
          <w:sz w:val="24"/>
          <w:szCs w:val="24"/>
        </w:rPr>
        <w:t xml:space="preserve">начение осуществляемой выплаты и готовит проект решения о назначении/отказе в назначении выплаты;</w:t>
      </w:r>
      <w:r>
        <w:rPr>
          <w:sz w:val="24"/>
          <w:szCs w:val="24"/>
        </w:rPr>
      </w:r>
      <w:r/>
    </w:p>
    <w:p>
      <w:pPr>
        <w:pStyle w:val="890"/>
        <w:jc w:val="both"/>
        <w:tabs>
          <w:tab w:val="left" w:pos="9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производит назначение и выплату: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ежегодной денежной выплаты Почетным донорам СССР и Почетным донорам России;</w:t>
      </w:r>
      <w:r/>
    </w:p>
    <w:p>
      <w:pPr>
        <w:pStyle w:val="890"/>
        <w:jc w:val="both"/>
        <w:tabs>
          <w:tab w:val="left" w:pos="9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ежемесячного пособия Героям Советского Союза, Героям Российской Федерации, Героям</w:t>
      </w:r>
      <w:r>
        <w:rPr>
          <w:sz w:val="24"/>
          <w:szCs w:val="24"/>
        </w:rPr>
        <w:t xml:space="preserve"> Социалистического Труда, полным кавалерам ордена Трудовой Славы, вдовам Героев Социалистического Труда и полных кавалеров ордена Трудовой Славы; лицам, привлекавшимся органами местной власти к разминированию территорий и объектов в период с 1943-1950 гг.;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компенсаций гражданам, подвергшимся воздействию радиации вследствие катастрофы на ЧАЭС, аварии на ПО «Маяк», ядерных испы</w:t>
      </w:r>
      <w:r>
        <w:rPr>
          <w:sz w:val="24"/>
          <w:szCs w:val="24"/>
        </w:rPr>
        <w:t xml:space="preserve">таний на Семипалатинском полигоне, ветеранам подразделений особого риска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АЭС»;</w:t>
      </w:r>
      <w:r/>
    </w:p>
    <w:p>
      <w:pPr>
        <w:pStyle w:val="890"/>
        <w:jc w:val="both"/>
        <w:tabs>
          <w:tab w:val="left" w:pos="9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>
        <w:rPr>
          <w:sz w:val="24"/>
          <w:szCs w:val="24"/>
        </w:rPr>
        <w:t xml:space="preserve">ежемесячной денежной выплаты лицам, родившимся в период с 22 июня 1923 года по 3 сентября 1945 года (Дети войны);</w:t>
      </w:r>
      <w:r/>
    </w:p>
    <w:p>
      <w:pPr>
        <w:pStyle w:val="890"/>
        <w:jc w:val="both"/>
        <w:tabs>
          <w:tab w:val="left" w:pos="98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>
        <w:rPr>
          <w:sz w:val="24"/>
          <w:szCs w:val="24"/>
        </w:rPr>
        <w:t xml:space="preserve">вносит в автоматизированную систему «Адресная социальная помощь» изменения признаков учета, способа выплаты, лицевых счетов получателей и другую информацию, имеющую значения для предоставления социальных услуг и мер социальной поддержки;</w:t>
      </w:r>
      <w:r/>
    </w:p>
    <w:p>
      <w:pPr>
        <w:pStyle w:val="890"/>
        <w:jc w:val="both"/>
        <w:tabs>
          <w:tab w:val="left" w:pos="9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формирует реестры получателей и потребность в денежных средствах на осуществляемые выплаты на очередной месяц;</w:t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формирует ежемесячные заявки на перечисление средств на осуществляемые  выплаты;</w:t>
      </w:r>
      <w:r>
        <w:rPr>
          <w:sz w:val="24"/>
          <w:szCs w:val="24"/>
        </w:rPr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по око</w:t>
      </w:r>
      <w:r>
        <w:rPr>
          <w:sz w:val="24"/>
          <w:szCs w:val="24"/>
        </w:rPr>
        <w:t xml:space="preserve">нчании выплатного периода и получении отчетов доставочных организаций выполняет сверку неоплаты по количеству получателей, осуществляемых выплат и сумме, составляет акты сверки расчетов по выплатам с кредитными организациями и организациями почтовой связи;</w:t>
      </w:r>
      <w:r/>
    </w:p>
    <w:p>
      <w:pPr>
        <w:pStyle w:val="890"/>
        <w:jc w:val="both"/>
        <w:tabs>
          <w:tab w:val="left" w:pos="100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осуществляет проверку и анализ документо</w:t>
      </w:r>
      <w:r>
        <w:rPr>
          <w:sz w:val="24"/>
          <w:szCs w:val="24"/>
        </w:rPr>
        <w:t xml:space="preserve">в, представленных гражданином и полученных (представленных) документов (сведений) в рамках межведомственного информационного взаимодействия, для установления наличия (отсутствия) обстоятельств, которые ухудшают или могут ухудшить условия жизнедеятельности;</w:t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выявляет обстоятельства ухудшающие условия жизнедеятельности гражданина путем организации обследований его материально-бытового положения по месту жительства (фактического пребывания) с целью признания нуждающимся в предоставлении социальных услуг;</w:t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организует посредничество между гражданином, нуждающимся в предоставлении социальных услуг или мер социальной поддержки, и различными специалистами (учреждениями) с целью представления интересов гражданина и решения его социальных проблем;</w:t>
      </w:r>
      <w:r/>
    </w:p>
    <w:p>
      <w:pPr>
        <w:pStyle w:val="890"/>
        <w:jc w:val="both"/>
        <w:tabs>
          <w:tab w:val="left" w:pos="93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ведет </w:t>
      </w:r>
      <w:r>
        <w:rPr>
          <w:sz w:val="24"/>
          <w:szCs w:val="24"/>
        </w:rPr>
        <w:t xml:space="preserve">муниципальные сегменты реестра поставщиков социальных услуг и регистра получателей социальных услуг;</w:t>
      </w:r>
      <w:r>
        <w:rPr>
          <w:sz w:val="24"/>
          <w:szCs w:val="24"/>
        </w:rPr>
      </w:r>
      <w:r/>
    </w:p>
    <w:p>
      <w:pPr>
        <w:pStyle w:val="890"/>
        <w:jc w:val="both"/>
        <w:tabs>
          <w:tab w:val="left" w:pos="99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формирует личные дела получателей социальных услуг и мер социальной поддержки;</w:t>
      </w:r>
      <w:r/>
    </w:p>
    <w:p>
      <w:pPr>
        <w:pStyle w:val="890"/>
        <w:jc w:val="both"/>
        <w:tabs>
          <w:tab w:val="left" w:pos="112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принимает участие в работе по проведению инвентаризации личных дел получателей;</w:t>
      </w:r>
      <w:r/>
    </w:p>
    <w:p>
      <w:pPr>
        <w:pStyle w:val="890"/>
        <w:jc w:val="both"/>
        <w:tabs>
          <w:tab w:val="left" w:pos="99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оформляет и выдает удостоверения лицам, родившимся в период с 22 июня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1923 года по 3 сентября 1945 года (Дети войны), проживающим на территории Белгородской области;</w:t>
      </w:r>
      <w:r/>
    </w:p>
    <w:p>
      <w:pPr>
        <w:pStyle w:val="890"/>
        <w:jc w:val="both"/>
        <w:tabs>
          <w:tab w:val="left" w:pos="9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- </w:t>
      </w:r>
      <w:r>
        <w:rPr>
          <w:sz w:val="24"/>
          <w:szCs w:val="24"/>
        </w:rPr>
        <w:t xml:space="preserve">осуществляет прием заявлений граждан и документов для рассмотрения комиссией при Губернаторе Белгородской области вопроса о присвоении звания</w:t>
      </w:r>
      <w:r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Ветеран труда», о выдачи дубликатов удостоверений «Ветеран труда» и выдачу удостоверений «Ветеран труда», дубликатов удостоверений;</w:t>
      </w:r>
      <w:r/>
    </w:p>
    <w:p>
      <w:pPr>
        <w:pStyle w:val="890"/>
        <w:jc w:val="both"/>
        <w:tabs>
          <w:tab w:val="left" w:pos="98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- </w:t>
      </w:r>
      <w:r>
        <w:rPr>
          <w:sz w:val="24"/>
          <w:szCs w:val="24"/>
        </w:rPr>
        <w:t xml:space="preserve">оказывает содействие некоммерческим общественным организациям Новооскольского городского округа в реализации социальных программ по защите ветеранов, пенсионеров, инвалидов;</w:t>
      </w:r>
      <w:r/>
    </w:p>
    <w:p>
      <w:pPr>
        <w:pStyle w:val="890"/>
        <w:jc w:val="both"/>
        <w:tabs>
          <w:tab w:val="left" w:pos="11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- </w:t>
      </w:r>
      <w:r>
        <w:rPr>
          <w:sz w:val="24"/>
          <w:szCs w:val="24"/>
        </w:rPr>
        <w:t xml:space="preserve">рассматривает в установленном порядке письма, обращения граждан, служебные документы, исполняет приказы, распоряжения и указания ид нестоящих, в порядке подчиненности, руководителей;</w:t>
      </w:r>
      <w:r/>
    </w:p>
    <w:p>
      <w:pPr>
        <w:pStyle w:val="890"/>
        <w:jc w:val="both"/>
        <w:tabs>
          <w:tab w:val="left" w:pos="100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- </w:t>
      </w:r>
      <w:r>
        <w:rPr>
          <w:sz w:val="24"/>
          <w:szCs w:val="24"/>
        </w:rPr>
        <w:t xml:space="preserve">разрабатывает, внедряет и поддерживает проекты реализуемых Программ на территории Новооскольского городского округа на основан</w:t>
      </w:r>
      <w:r>
        <w:rPr>
          <w:sz w:val="24"/>
          <w:szCs w:val="24"/>
        </w:rPr>
        <w:t xml:space="preserve">ии областных и районных целевых Программ, нормативных правовых актов Губернатора и Правительства Белгородской области, поручений Губернатора Белгородской области, нормативных правовых актов и поручений главы администрации Новооскольского городского округа;</w:t>
      </w:r>
      <w:r/>
    </w:p>
    <w:p>
      <w:pPr>
        <w:pStyle w:val="890"/>
        <w:jc w:val="both"/>
        <w:tabs>
          <w:tab w:val="left" w:pos="98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- </w:t>
      </w:r>
      <w:r>
        <w:rPr>
          <w:sz w:val="24"/>
          <w:szCs w:val="24"/>
        </w:rPr>
        <w:t xml:space="preserve">участвует в мероприятиях по формированию культуры бережливого управления в управлении социальной защиты населения администрации Новооскольского городского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0"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9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3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540" w:hanging="180"/>
      </w:pPr>
    </w:lvl>
  </w:abstractNum>
  <w:abstractNum w:abstractNumId="1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num w:numId="1">
    <w:abstractNumId w:val="4"/>
  </w:num>
  <w:num w:numId="2">
    <w:abstractNumId w:val="15"/>
  </w:num>
  <w:num w:numId="3">
    <w:abstractNumId w:val="16"/>
  </w:num>
  <w:num w:numId="4">
    <w:abstractNumId w:val="1"/>
  </w:num>
  <w:num w:numId="5">
    <w:abstractNumId w:val="12"/>
  </w:num>
  <w:num w:numId="6">
    <w:abstractNumId w:val="3"/>
  </w:num>
  <w:num w:numId="7">
    <w:abstractNumId w:val="13"/>
  </w:num>
  <w:num w:numId="8">
    <w:abstractNumId w:val="7"/>
  </w:num>
  <w:num w:numId="9">
    <w:abstractNumId w:val="1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 w:numId="15">
    <w:abstractNumId w:val="6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17"/>
  </w:num>
  <w:num w:numId="18">
    <w:abstractNumId w:val="14"/>
  </w:num>
  <w:num w:numId="19">
    <w:abstractNumId w:val="18"/>
  </w:num>
  <w:num w:numId="20">
    <w:abstractNumId w:val="5"/>
  </w:num>
  <w:num w:numId="21">
    <w:abstractNumId w:val="8"/>
  </w:num>
  <w:num w:numId="22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Абзац списка2"/>
    <w:basedOn w:val="890"/>
    <w:next w:val="916"/>
    <w:link w:val="890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48"/>
    <w:next w:val="918"/>
    <w:link w:val="890"/>
    <w:rPr>
      <w:rFonts w:ascii="Times New Roman" w:hAnsi="Times New Roman"/>
      <w:b/>
      <w:bCs/>
      <w:sz w:val="26"/>
      <w:szCs w:val="26"/>
    </w:rPr>
  </w:style>
  <w:style w:type="character" w:styleId="919">
    <w:name w:val="Font Style49"/>
    <w:next w:val="919"/>
    <w:link w:val="890"/>
    <w:rPr>
      <w:rFonts w:ascii="Times New Roman" w:hAnsi="Times New Roman"/>
      <w:sz w:val="26"/>
      <w:szCs w:val="26"/>
    </w:rPr>
  </w:style>
  <w:style w:type="character" w:styleId="920">
    <w:name w:val="Font Style30"/>
    <w:next w:val="920"/>
    <w:link w:val="890"/>
    <w:rPr>
      <w:rFonts w:ascii="Times New Roman" w:hAnsi="Times New Roman"/>
      <w:sz w:val="22"/>
      <w:szCs w:val="22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character" w:styleId="922" w:default="1">
    <w:name w:val="Default Paragraph Font"/>
    <w:uiPriority w:val="1"/>
    <w:semiHidden/>
    <w:unhideWhenUsed/>
  </w:style>
  <w:style w:type="numbering" w:styleId="923" w:default="1">
    <w:name w:val="No List"/>
    <w:uiPriority w:val="99"/>
    <w:semiHidden/>
    <w:unhideWhenUsed/>
  </w:style>
  <w:style w:type="paragraph" w:styleId="924" w:default="1">
    <w:name w:val="Normal"/>
    <w:qFormat/>
  </w:style>
  <w:style w:type="table" w:styleId="9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2024-08-07T06:36:17Z</dcterms:modified>
</cp:coreProperties>
</file>