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городского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городского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городского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2024-08-07T06:42:34Z</dcterms:modified>
</cp:coreProperties>
</file>