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имущественных и земельных отношений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843"/>
        <w:gridCol w:w="7229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имуществен-ных и земельных отношений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выполнять отдельные функции в проекте;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района, работы с системами управления проектами.</w:t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Знание законодательства по предметной области деятельности: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местном самоуправлении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муниципальной службе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административного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трудового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семейного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 земельного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налогового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жилищного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градостроительного права;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прав человека и основных свобод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об организации предоставления государственных и муниципальных услуг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порядке работы с обращениями граждан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защите персональных данных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области проектного управления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противодействии коррупции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судебной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 о правоохранительной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правовых аспектов в области ИКТ, программных документов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об антикоррупционной экспертизе нормативных правовых актов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основы избирательного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судопроизводства и процессуального законодательства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государственной тайны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сфере закупок товаров и услуг для муниципальных нужд</w:t>
            </w:r>
            <w:r/>
          </w:p>
          <w:p>
            <w:pPr>
              <w:pStyle w:val="882"/>
              <w:jc w:val="both"/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охраны труда и пожарной безопасности.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руководство по предоставлению и исполнению муниципальных услуг и контроль деятельности, влияющий на качество муниципальных услуг в отрасли культуры и искусства Новооскольского городского округа;</w:t>
      </w:r>
      <w:r/>
    </w:p>
    <w:p>
      <w:pPr>
        <w:pStyle w:val="91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координацию и регулирование вопросов, связанных с управлением и распоряжением земельными ресурсами и муниципальным имуществом в пределах переданных полномочий в соответствии с действующим законодательством.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Взаимодействовать с федеральными, государственными органами по вопросам совершенствования управления земельными ресурсами и муниципальным имуществом.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Обеспечивать прогнозирование и  контроль поступления доходов от продажи и аренды земельных участков, а также от использования муниципального имущества (аренда, продажа, отчисления от прибыли муниципальных предприятий).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работе ликвидационных комиссий при ликвидации муниципальных предприятий.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эффективным использованием муниципального имущества, проведением его инвентаризации и списанием основных фондов организаций муниципальной собственности.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своевременное исполнение документов, поступающих в управление, постановлений, распоряжений и поручений,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в пределах компетенции проведение аукционов, конкурсов, а также иных торгов по продаже муниципального имущества.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реализацией мероприятий по повышению эффективности использования земель сельскохозяйственного назначения.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разработке проектов постановлений и распоряжений администрации Новооскольского городского округа, относящихся к 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Консультировать муниципальных служащих органов местного самоуправления Новооскольского городского округа, организации и граждан в пределах своей компетенции. 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руководство управлением, обеспечивать выполнение стоящих перед управлением задач.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качественным предоставлением муниципальных услуг. 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Бережно относится к муниципальному имуществу, предоставленному для исполнения должностных функций.</w:t>
      </w:r>
      <w:r/>
    </w:p>
    <w:p>
      <w:pPr>
        <w:pStyle w:val="89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>
        <w:rPr>
          <w:rFonts w:ascii="Times New Roman" w:hAnsi="Times New Roman"/>
          <w:sz w:val="24"/>
          <w:szCs w:val="24"/>
        </w:rPr>
        <w:t xml:space="preserve">Выполняет иные поручения главы администрации Новооскольского городского круга в пределах полномочий, установленных законодательством.</w:t>
      </w:r>
      <w:r/>
    </w:p>
    <w:p>
      <w:pPr>
        <w:pStyle w:val="89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>
        <w:rPr>
          <w:rFonts w:ascii="Times New Roman" w:hAnsi="Times New Roman"/>
          <w:sz w:val="24"/>
          <w:szCs w:val="24"/>
        </w:rPr>
        <w:t xml:space="preserve">Разрабатывает, внедряет и поддерживает проекты реализуемых Программ на территории Новооскольского городского округа на основании областных и районных целевых Программ, нормат</w:t>
      </w:r>
      <w:r>
        <w:rPr>
          <w:rFonts w:ascii="Times New Roman" w:hAnsi="Times New Roman"/>
          <w:sz w:val="24"/>
          <w:szCs w:val="24"/>
        </w:rPr>
        <w:t xml:space="preserve">ивных правовых актов Губернатора и Правительства Белгородской области, поручений Губернатора Белгородской области, нормативных правовых актов администрации Новооскольского городского округа и поручений главы администрации Новооскольского городского округа;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 xml:space="preserve">Осуществляет прием, обработку и контроль за исполнением корреспонденции и поручений Губернатора Белгородской области и его заместителей, поступающих через ПУВП РИАС («Мотив»).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 xml:space="preserve">Участвует в организации антикоррупционной работы в администрации Новооскольского городского округа.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 xml:space="preserve">Соблюдает установленные правила информационной безопасности.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2024-08-07T06:48:55Z</dcterms:modified>
</cp:coreProperties>
</file>