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информационно-аналитического отдела администрации Новооскольского городского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0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городского округа о позиции средств массовой информации, политических партий и общественных организаций по поводу решений и выступлений главы администрации городского округа и руководителей структурных подразделений администрации городского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городского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городского округа в соответствии с установленными требованиями;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проекты постановлений и распоряжений главы администрации городского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городского округа.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2024-08-07T06:38:50Z</dcterms:modified>
</cp:coreProperties>
</file>