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489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Устава Новооскольского муниципального округа,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должен иметь профессиональные навыки: проведения деловых переговоров; принятия управленческих решений и контроля их выполнения; организации и ведения личного приёма граждан; логически верно, аргументировано и ясно строить устную и письменную речь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грамотного написания текста на русском языке; умения принимать решения, анализировать возможные последствия решений, готовность брать ответственность  за  результат;  умения  определять  задачи,  распределять их, расставляя приоритеты, контролировать 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 отдельных заданий, в том числе сроки, создавать систему правил и норм, приводящую к достижению результата; умения гибко адаптировать тактику своих действий и действовать в соответствии с конкретной ситуацией; знания основ управления персоналом.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территориального планирования и ведения ИСОГД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489" w:type="dxa"/>
            <w:vAlign w:val="top"/>
            <w:textDirection w:val="lrTb"/>
            <w:noWrap w:val="false"/>
          </w:tcPr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сфере градостроительства;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законодательства в области архитектуры;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управления персоналом;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основ законодательства о противодействии коррупции;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нормативно-технических регламентов координирующие архитектурную и градостроительную деятельность.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владения современными средствами, методами и технологией работы с информацией;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взаимодействия с федеральными и региональными органами исполнительной власти, государственными органами;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профессионально-квалификационного развития;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мониторинга;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 составления делового письма.</w:t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Работник в своей профессиональной служебной деятельности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</w:t>
            </w:r>
            <w:r>
              <w:rPr>
                <w:color w:val="000000"/>
                <w:sz w:val="24"/>
                <w:szCs w:val="24"/>
              </w:rPr>
              <w:t xml:space="preserve">ниями и распоряжениями Правительства Российской Федерации, зак</w:t>
            </w:r>
            <w:r>
              <w:rPr>
                <w:color w:val="000000"/>
                <w:sz w:val="24"/>
                <w:szCs w:val="24"/>
              </w:rPr>
              <w:t xml:space="preserve">онам</w:t>
            </w:r>
            <w:r>
              <w:rPr>
                <w:color w:val="000000"/>
                <w:sz w:val="24"/>
                <w:szCs w:val="24"/>
              </w:rPr>
              <w:t xml:space="preserve">и Белгородской области, нормативными правовыми актами Белгородской области, Новооскольского муниципального округа, Положением об управлении архитектуры и градостроительства администрации Новооскольского городского округа, настоящей должностной инструкцией.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Сообщает главе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Новооскольского муниципального округа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Соблюдает ограничения, выполняет обязательства, не нарушает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Сообщает непосредственно</w:t>
      </w:r>
      <w:r>
        <w:rPr>
          <w:rFonts w:ascii="Times New Roman" w:hAnsi="Times New Roman"/>
          <w:sz w:val="24"/>
          <w:szCs w:val="24"/>
        </w:rPr>
        <w:t xml:space="preserve">му руководителю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Уведомляет главу </w:t>
      </w:r>
      <w:r>
        <w:rPr>
          <w:rFonts w:ascii="Times New Roman" w:hAnsi="Times New Roman"/>
          <w:sz w:val="24"/>
          <w:szCs w:val="24"/>
        </w:rPr>
        <w:t xml:space="preserve">адми</w:t>
      </w:r>
      <w:r>
        <w:rPr>
          <w:rFonts w:ascii="Times New Roman" w:hAnsi="Times New Roman"/>
          <w:sz w:val="24"/>
          <w:szCs w:val="24"/>
        </w:rPr>
        <w:t xml:space="preserve">нистрации муниципального округа, своего непосредственного руководителя, органы прокуратуры и другие государственные органы обо всех случаях обращения к муниципальному служащему каких-либо лиц в целях склонения его к совершению коррупционных правонарушений.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Своевременно и качественно выполняет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Консультирует муниципальных служащих органов местного самоуправления городского округа, организации и граждан в пределах своей компетенции.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 определённых обстоятельствах принимает самостоятельные 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</w:t>
      </w:r>
      <w:r>
        <w:rPr>
          <w:rFonts w:ascii="Times New Roman" w:hAnsi="Times New Roman"/>
          <w:sz w:val="24"/>
          <w:szCs w:val="24"/>
        </w:rPr>
        <w:t xml:space="preserve">лжности муниципальной службы.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подразделение, и в соответствии с должностными обязанностями;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Осуществляет руководство отделом и несет персональную ответственность за надлежащее выполнение возложенных на отдел задач и функций;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Распределяет обязанности между специалистами отдела;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Обеспечивает информационно - аналитическую деятельность главы администрации городского округа по вопросам архитектуры 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Проводит анализ существующей градостроительной ситуации на территории городского округа и представляет полученные результаты на рассмотрение начальнику управления.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Готовит мероприятия, направленные на улучшение градостроительной обстановки.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Выписывает предписания и составляет протоколы об административных правонарушениях;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Участвует в разработке нормативно-правовых документов в области градостроительства;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Участвует в подготовке документов по выбору земельных участков для строительства, а также по выбору земельных участков для использования их в иных целях;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Осуществляет контроль за подготовкой градостроительных планов.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Участвует в мероприятиях по формированию культуры бережливого управления в администрации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Инициирует,  участвует в реализации областных и муниципальных проектов Новооскольского муниципального округа;</w:t>
      </w:r>
      <w:r/>
    </w:p>
    <w:p>
      <w:pPr>
        <w:pStyle w:val="894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Иные полномочия в соответствии с федеральным законом, Уставом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2025-02-18T05:52:12Z</dcterms:modified>
</cp:coreProperties>
</file>