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</w:rPr>
        <w:t xml:space="preserve">мобилизационного отдела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Нов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ооскольского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округа.</w:t>
      </w:r>
      <w:r>
        <w:rPr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none"/>
              </w:rPr>
              <w:t xml:space="preserve">мобилизационного отдела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ооскольского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2025-02-18T05:43:25Z</dcterms:modified>
</cp:coreProperties>
</file>