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  <w:vertAlign w:val="superscript"/>
        </w:rPr>
      </w:pPr>
      <w:r>
        <w:rPr>
          <w:b/>
          <w:bCs/>
          <w:color w:val="000000"/>
          <w:sz w:val="24"/>
          <w:szCs w:val="24"/>
          <w:vertAlign w:val="superscript"/>
        </w:rPr>
      </w:r>
      <w:r/>
    </w:p>
    <w:p>
      <w:pPr>
        <w:pStyle w:val="892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2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ной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– заместителя главы </w:t>
      </w:r>
      <w:r>
        <w:rPr>
          <w:color w:val="000000"/>
          <w:sz w:val="24"/>
          <w:szCs w:val="24"/>
        </w:rPr>
        <w:t xml:space="preserve">Николаевской</w:t>
      </w:r>
      <w:r>
        <w:rPr>
          <w:color w:val="000000"/>
          <w:sz w:val="24"/>
          <w:szCs w:val="24"/>
        </w:rPr>
        <w:t xml:space="preserve"> территориальной администрации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округа.</w:t>
      </w:r>
      <w:r/>
    </w:p>
    <w:p>
      <w:pPr>
        <w:pStyle w:val="901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2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2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 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1"/>
        <w:jc w:val="both"/>
        <w:rPr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администрации </w:t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трех лет.</w:t>
            </w:r>
            <w:r/>
          </w:p>
          <w:p>
            <w:pPr>
              <w:pStyle w:val="89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2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2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92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92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92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color w:val="000000"/>
                <w:sz w:val="24"/>
                <w:szCs w:val="24"/>
              </w:rPr>
              <w:t xml:space="preserve">Николаевской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территориальной администрации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</w:t>
            </w:r>
            <w:r>
              <w:rPr>
                <w:rStyle w:val="917"/>
                <w:sz w:val="24"/>
                <w:szCs w:val="24"/>
              </w:rPr>
              <w:t xml:space="preserve"> принимать решения, рассматривать ряд вариантов, в случае очевидных последствий нести ответственность за результат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определять задачи, распределять их, расставляя приоритеты, контролировать ход выполнения отдельных заданий, в том числе сроки, создавать систему правил и норм, приводящую к достижению результата;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17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</w:t>
            </w:r>
            <w:r>
              <w:rPr>
                <w:rStyle w:val="917"/>
                <w:sz w:val="24"/>
                <w:szCs w:val="24"/>
              </w:rPr>
              <w:t xml:space="preserve">контроля и оценки результатов деятельности подчиненных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видение разных факторов, влияющих на ситуацию, структурированный подход к решению проблем, нахождение взаимосвязей между элементами в стандартных ситуациях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17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свои решения и решения своих подчиненных;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проводить совещания, убеждать, управлять поведением людей в конфликтных ситуациях; владение навыками публичного выступления перед собраниями;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объединять людей вокруг своей идеи, формировать команду, стремясь поддерживать в команде дух сотрудничества;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17"/>
                <w:sz w:val="24"/>
                <w:szCs w:val="24"/>
              </w:rPr>
              <w:t xml:space="preserve">способность предлагать новаторские решения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руководство в работе правовыми знаниями и убеждениями в  соответствии с законодательством и установленными регламентами, умение отстаивать свои права;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 особенностей построения системы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финансово-экономических аспектов государственного и муниципального управления;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правовых аспектов в области ИКТ, программных документов и приоритетов государственной политики в области ИКТ, правовых аспектов в сфере предоставления государственных и муниципальных услуг населению и организациям посредством применения ИКТ;</w:t>
            </w:r>
            <w:r/>
          </w:p>
          <w:p>
            <w:pPr>
              <w:pStyle w:val="892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стратегического планирования и управления групповой деятельностью с учетом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</w:t>
            </w:r>
            <w:r>
              <w:rPr>
                <w:color w:val="000000"/>
                <w:sz w:val="24"/>
                <w:szCs w:val="24"/>
              </w:rPr>
              <w:t xml:space="preserve">р</w:t>
            </w:r>
            <w:r>
              <w:rPr>
                <w:color w:val="000000"/>
                <w:sz w:val="24"/>
                <w:szCs w:val="24"/>
              </w:rPr>
              <w:t xml:space="preserve">уга</w:t>
            </w:r>
            <w:r>
              <w:rPr>
                <w:color w:val="000000"/>
                <w:sz w:val="24"/>
                <w:szCs w:val="24"/>
              </w:rPr>
              <w:t xml:space="preserve">, работы с системами управления проектами.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892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должностные обязанности по вакантной должности входят: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Соблюдать ограничения, не нарушать запреты, которые установлены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"consultantplus://offline/ref=8563DBA7D29EF9C73B1DFEC88E25CD0896FA8A65B629CB83097EDBA29AEA53F04D2D9B2CE02DEEBFcBeDK"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02 марта 2007 года № 25-ФЗ «О муниципальной службе в Российской Федерации» и другими федеральными законами.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Исполнять основные обязанности, предусмотренные Федеральным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"consultantplus://offline/ref=8563DBA7D29EF9C73B1DFEC88E25CD0896FA8A65B629CB83097EDBA29AEA53F04D2D9B2CE02DEEB1cBe7K"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законом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02 марта 2007 года № 25-ФЗ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Точно и в срок выполнять поручения своего руководителя.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Соблюдать правила делопроизводства, </w:t>
      </w:r>
      <w:r>
        <w:rPr>
          <w:rFonts w:ascii="Times New Roman" w:hAnsi="Times New Roman"/>
          <w:sz w:val="24"/>
          <w:szCs w:val="24"/>
          <w:lang w:eastAsia="ru-RU"/>
        </w:rPr>
        <w:t xml:space="preserve">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 Соблюдать установленный служебный распорядок, Кодекс поведения муниципального служащего, правила содержания служебных помещений и </w:t>
      </w:r>
      <w:r>
        <w:rPr>
          <w:rFonts w:ascii="Times New Roman" w:hAnsi="Times New Roman"/>
          <w:sz w:val="24"/>
          <w:szCs w:val="24"/>
          <w:lang w:eastAsia="ru-RU"/>
        </w:rPr>
        <w:fldChar w:fldCharType="begin"/>
      </w:r>
      <w:r>
        <w:rPr>
          <w:rFonts w:ascii="Times New Roman" w:hAnsi="Times New Roman"/>
          <w:sz w:val="24"/>
          <w:szCs w:val="24"/>
          <w:lang w:eastAsia="ru-RU"/>
        </w:rPr>
        <w:instrText xml:space="preserve"> HYPERLINK "consultantplus://offline/ref=8563DBA7D29EF9C73B1DFEC88E25CD0893FE896EB42696890127D7A09DE50CE74A64972DE02DEFcBe7K" </w:instrText>
      </w:r>
      <w:r>
        <w:rPr>
          <w:rFonts w:ascii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hAnsi="Times New Roman"/>
          <w:sz w:val="24"/>
          <w:szCs w:val="24"/>
          <w:lang w:eastAsia="ru-RU"/>
        </w:rPr>
        <w:t xml:space="preserve">правила</w:t>
      </w:r>
      <w:r>
        <w:rPr>
          <w:rFonts w:ascii="Times New Roman" w:hAnsi="Times New Roman"/>
          <w:sz w:val="24"/>
          <w:szCs w:val="24"/>
          <w:lang w:eastAsia="ru-RU"/>
        </w:rPr>
        <w:fldChar w:fldCharType="end"/>
      </w:r>
      <w:r>
        <w:rPr>
          <w:rFonts w:ascii="Times New Roman" w:hAnsi="Times New Roman"/>
          <w:sz w:val="24"/>
          <w:szCs w:val="24"/>
          <w:lang w:eastAsia="ru-RU"/>
        </w:rPr>
        <w:t xml:space="preserve"> пожарной безопасности.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 Участвовать в организации и осуществлении контроля в границах подведомственной территории бесперебойного электро-, тепло-, газо- и водоснабжения населения, водоотведения, снабжения населения топливом в пределах своих полномочий.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Участвовать в работе по совершенствованию дорожной деятельности в отношении автомобиль</w:t>
      </w:r>
      <w:r>
        <w:rPr>
          <w:rFonts w:ascii="Times New Roman" w:hAnsi="Times New Roman"/>
          <w:sz w:val="24"/>
          <w:szCs w:val="24"/>
        </w:rPr>
        <w:t xml:space="preserve">ных дорог местного значения в границах  подведомственной территории и обеспечивает безопасность дорожного движения на них, в том числе по созданию и обеспечению функционирования парковок (парковочных мест), осуществлять муниципальный контроль за сохранност</w:t>
      </w:r>
      <w:r>
        <w:rPr>
          <w:rFonts w:ascii="Times New Roman" w:hAnsi="Times New Roman"/>
          <w:sz w:val="24"/>
          <w:szCs w:val="24"/>
        </w:rPr>
        <w:t xml:space="preserve">ью автомобильных дорог местного значения в границах подведомственной территории, а также осуществлять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12. Участвовать в деятельности по обеспечению малоимущих граждан, проживающих на подведомственной территории и нуждающихся в улучшении жилищных условий в соответствии с жилищным законодательством, создавать условия для жилищного строительства.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13. Создавать условия для предоставления транспортных услуг населению и участвовать в организации транспортного обслуживания населения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14. Участвовать в организации работы с ТОС, старостами сельских населенных пунктов.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Участвовать в профилактике терроризма и экстремизма, а также в минимизации и (или) ликвидации последствий проявлений терроризма и экстремизма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16. Участвовать в разработке и осуществлении мер, направленных на укрепление межнационального и межконфессионального согласия, оказывать поддер</w:t>
      </w:r>
      <w:r>
        <w:rPr>
          <w:rFonts w:ascii="Times New Roman" w:hAnsi="Times New Roman"/>
          <w:sz w:val="24"/>
          <w:szCs w:val="24"/>
        </w:rPr>
        <w:t xml:space="preserve">ж</w:t>
      </w:r>
      <w:r>
        <w:rPr>
          <w:rFonts w:ascii="Times New Roman" w:hAnsi="Times New Roman"/>
          <w:sz w:val="24"/>
          <w:szCs w:val="24"/>
        </w:rPr>
        <w:t xml:space="preserve">ку и развитие языков и культуры народов Российской Федерации, проживающих на подведомственной территории, содействовать реализации прав национальных меньшинств, способствовать обеспечению социальной и культурной адаптации мигрантов, проводить профилактику </w:t>
      </w:r>
      <w:r>
        <w:rPr>
          <w:rFonts w:ascii="Times New Roman" w:hAnsi="Times New Roman"/>
          <w:sz w:val="24"/>
          <w:szCs w:val="24"/>
        </w:rPr>
        <w:t xml:space="preserve">минимизации межнациональных (межэтнических) конфликтов.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17. Участвовать в предупреждении и ликвидации последствий чрезвычайных ситуаций в границах подведомственной территории.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18. Осуществлять в установленном порядке взаимодействие с участковыми уполномоченными полиции по вопросам профилактики правонарушений, участвует в мероприятиях, способствующих предупреждению преступлений и иных правонарушений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19.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мероприятий по охране общественного порядка на подведомственной территории муниципальной полицией.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20. </w:t>
      </w:r>
      <w:r>
        <w:rPr>
          <w:rFonts w:ascii="Times New Roman" w:hAnsi="Times New Roman"/>
          <w:sz w:val="24"/>
          <w:szCs w:val="24"/>
        </w:rPr>
        <w:t xml:space="preserve">Предоставлять помещение для работы на обслуживаемом административном участке подведомственной территории сотруднику, замещающему должность участкового уполномоченного полиции.</w:t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21. </w:t>
      </w:r>
      <w:r>
        <w:rPr>
          <w:rFonts w:ascii="Times New Roman" w:hAnsi="Times New Roman"/>
          <w:sz w:val="24"/>
          <w:szCs w:val="24"/>
        </w:rPr>
        <w:t xml:space="preserve">Принимать участие в организации выступлений и отчетов участковых уполномоченных полиции перед населением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первичные меры пожарной безопасности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пределах своей компетенции участвовать в организации мероприятий по охране окружающей среды в границах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Вносить предложения по созданию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обеспечения жителей подведомственной территории услугами связи, общественного питания, торговли и бытового обслуживания.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Содействовать развитию библиотечного обслуживания населения, комплектованию и обеспечению сохранности библиотечных фондов, библиотек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досуга и обеспечения жителей подведомственной территории услугами организации культуры.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развития местного традиционного народного художественного творчества, сохранения, возрождения и развития народных художественных промыслов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сохранения, использования и популяризации объектов культурного наследия (памятников истории и культуры), расположенных на подведомственной территории.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работы </w:t>
      </w:r>
      <w:r>
        <w:rPr>
          <w:rFonts w:ascii="Times New Roman" w:hAnsi="Times New Roman"/>
          <w:sz w:val="24"/>
          <w:szCs w:val="24"/>
        </w:rPr>
        <w:t xml:space="preserve">по обеспечению условий для занятия физической культурой и спортом, проводить пропаганду здорового образа жизни, участвовать в организации проведения официальных физкультурно-оздоровительных и спортивных мероприятий населения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массового отдыха жителей подведомственной территории, участвовать в организации обустройства мест массового отдыха населения.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формирование архивных фондов и выдачи справок и выписок из них.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организации ритуальных услуг и обеспечивать содержание мест захоронения в соответствии с решениями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Обеспечивать и участвовать в организации деятельности по сбору (в том числе раздельному сбору) и транспортированию твердых коммунальных отходов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благоустройства и озеленения подведомственной территории, осуществлять контроль за соблюдением правил благоустройства.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деятельности по освещению улиц и установке указателей с наименованиями улиц и номерами домов.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организации и осуществлении мероприятий по территориальной обороне и гражданской обороне, защите населения на подведомственной территории от чрезвычайных ситуаций природного и техногенного характера, включая подде</w:t>
      </w:r>
      <w:r>
        <w:rPr>
          <w:rFonts w:ascii="Times New Roman" w:hAnsi="Times New Roman"/>
          <w:sz w:val="24"/>
          <w:szCs w:val="24"/>
        </w:rPr>
        <w:t xml:space="preserve">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деятельности аварийно-спасательных служб и (или) аварийно-спасательных формирований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мероприятия по обеспечению безопасности людей на водных объектах, охране их жизни и здоровья.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Создавать условия для расширения рынка</w:t>
      </w:r>
      <w:r>
        <w:rPr>
          <w:rFonts w:ascii="Times New Roman" w:hAnsi="Times New Roman"/>
          <w:sz w:val="24"/>
          <w:szCs w:val="24"/>
        </w:rPr>
        <w:t xml:space="preserve"> сельскохозяйственной продукции, сырья и продовольствия, содействует развитию малого и среднего предпринимательства, оказывать поддержку социально ориентированным некоммерческим организациям, благотворительной деятельности и добровольчеству (волонтерству).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и оказывать содействие в проведении мероприятий по работе с детьми и молодежью на подведомственной территории.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Осуществлять в пределах, установленных водным законодательством Российской Федерации, полномочия собственника водных объектов, устанавливать правила использования водных объектов общ</w:t>
      </w:r>
      <w:r>
        <w:rPr>
          <w:rFonts w:ascii="Times New Roman" w:hAnsi="Times New Roman"/>
          <w:sz w:val="24"/>
          <w:szCs w:val="24"/>
        </w:rPr>
        <w:t xml:space="preserve">его пользования для личных и бытовых нужд и информировать население подведомственной территории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гражданам и их объединениям, участвующим в охране общественного порядка, создавать условия для деятельности народных дружин.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похозяйственные книги и выдавать справки и выписки из них населению.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статистический учет населения, скота, жилых домов на подведомственной территории. Предоставлять отчеты в органы статистики.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учет и профилактическую работу с лицами, совершившими административные правонарушения и состоявшие на учете в Совете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Организовывать подготовку проведения заседаний Совета общественности при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Участвовать в осуществлении деятельности по опеке и попечительству.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Являться уполномоченной по составлению протоколов об административных правонарушениях.                                                                                 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Рассматривать обращения и жалобы организаций и граждан по вопросам, отнесенным к компетенции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и результативность профессиональной служебной деятельности заместителя</w:t>
      </w:r>
      <w:r>
        <w:rPr>
          <w:rFonts w:ascii="Times New Roman" w:hAnsi="Times New Roman"/>
          <w:sz w:val="24"/>
          <w:szCs w:val="24"/>
        </w:rPr>
        <w:t xml:space="preserve"> главы территориальной администрации определяется по результатам его профессиональной служебной деятельности (и деятельности починенных ему муниципальных служащих) в порядке, установленном нормативными правовыми актами городского округа и правовыми актами </w:t>
      </w:r>
      <w:r>
        <w:rPr>
          <w:rFonts w:ascii="Times New Roman" w:hAnsi="Times New Roman"/>
          <w:sz w:val="24"/>
          <w:szCs w:val="24"/>
        </w:rPr>
        <w:t xml:space="preserve">Николаевской</w:t>
      </w:r>
      <w:r>
        <w:rPr>
          <w:rFonts w:ascii="Times New Roman" w:hAnsi="Times New Roman"/>
          <w:sz w:val="24"/>
          <w:szCs w:val="24"/>
        </w:rPr>
        <w:t xml:space="preserve"> территориальной администрации.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статьей </w:t>
      </w:r>
      <w:r>
        <w:rPr>
          <w:rFonts w:ascii="Times New Roman" w:hAnsi="Times New Roman"/>
          <w:sz w:val="24"/>
          <w:szCs w:val="24"/>
        </w:rPr>
        <w:t xml:space="preserve">21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2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1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Verdana">
    <w:panose1 w:val="020B060403050404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separate"/>
    </w:r>
    <w:r>
      <w:rPr>
        <w:rStyle w:val="898"/>
      </w:rPr>
      <w:t xml:space="preserve">7</w: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/>
  </w:p>
  <w:p>
    <w:pPr>
      <w:pStyle w:val="897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2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pStyle w:val="892"/>
        <w:ind w:left="112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6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0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72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82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30" w:hanging="630"/>
      </w:pPr>
    </w:lvl>
    <w:lvl w:ilvl="1">
      <w:start w:val="11"/>
      <w:numFmt w:val="decimal"/>
      <w:isLgl w:val="false"/>
      <w:suff w:val="tab"/>
      <w:lvlText w:val="%1.%2."/>
      <w:lvlJc w:val="left"/>
      <w:pPr>
        <w:pStyle w:val="892"/>
        <w:ind w:left="148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224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36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1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2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637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713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8256" w:hanging="2160"/>
      </w:pPr>
    </w:lvl>
  </w:abstractNum>
  <w:abstractNum w:abstractNumId="3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2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2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2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2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2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2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2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2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2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688" w:hanging="180"/>
        <w:tabs>
          <w:tab w:val="num" w:pos="6688" w:leader="none"/>
        </w:tabs>
      </w:pPr>
    </w:lvl>
  </w:abstractNum>
  <w:abstractNum w:abstractNumId="7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pStyle w:val="89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4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2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2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2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2160" w:hanging="2160"/>
        <w:tabs>
          <w:tab w:val="num" w:pos="21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892"/>
        <w:ind w:left="600" w:hanging="600"/>
      </w:pPr>
    </w:lvl>
    <w:lvl w:ilvl="1">
      <w:start w:val="15"/>
      <w:numFmt w:val="decimal"/>
      <w:isLgl w:val="false"/>
      <w:suff w:val="tab"/>
      <w:lvlText w:val="%1.%2."/>
      <w:lvlJc w:val="left"/>
      <w:pPr>
        <w:pStyle w:val="892"/>
        <w:ind w:left="16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2"/>
        <w:ind w:left="1430" w:hanging="720"/>
      </w:pPr>
      <w:rPr>
        <w:color w:val="FF0000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92"/>
        <w:ind w:left="37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2"/>
        <w:ind w:left="46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2"/>
        <w:ind w:left="59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2"/>
        <w:ind w:left="72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2"/>
        <w:ind w:left="81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2"/>
        <w:ind w:left="9360" w:hanging="2160"/>
      </w:pPr>
    </w:lvl>
  </w:abstractNum>
  <w:abstractNum w:abstractNumId="12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pStyle w:val="892"/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70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30" w:hanging="180"/>
        <w:tabs>
          <w:tab w:val="num" w:pos="683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2"/>
        <w:tabs>
          <w:tab w:val="num" w:pos="360" w:leader="none"/>
        </w:tabs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2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9720" w:hanging="180"/>
        <w:tabs>
          <w:tab w:val="num" w:pos="9720" w:leader="none"/>
        </w:tabs>
      </w:pPr>
    </w:lvl>
  </w:abstractNum>
  <w:abstractNum w:abstractNumId="19">
    <w:multiLevelType w:val="hybridMultilevel"/>
    <w:lvl w:ilvl="0">
      <w:start w:val="15"/>
      <w:numFmt w:val="decimal"/>
      <w:isLgl w:val="false"/>
      <w:suff w:val="tab"/>
      <w:lvlText w:val="%1."/>
      <w:lvlJc w:val="left"/>
      <w:pPr>
        <w:pStyle w:val="89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9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2"/>
        <w:ind w:left="6829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4"/>
  </w:num>
  <w:num w:numId="5">
    <w:abstractNumId w:val="13"/>
  </w:num>
  <w:num w:numId="6">
    <w:abstractNumId w:val="5"/>
  </w:num>
  <w:num w:numId="7">
    <w:abstractNumId w:val="14"/>
  </w:num>
  <w:num w:numId="8">
    <w:abstractNumId w:val="8"/>
  </w:num>
  <w:num w:numId="9">
    <w:abstractNumId w:val="1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8"/>
  </w:num>
  <w:num w:numId="15">
    <w:abstractNumId w:val="1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2"/>
        </w:pPr>
        <w:rPr>
          <w:rFonts w:ascii="Times New Roman" w:hAnsi="Times New Roman"/>
        </w:rPr>
      </w:lvl>
    </w:lvlOverride>
  </w:num>
  <w:num w:numId="19">
    <w:abstractNumId w:val="2"/>
  </w:num>
  <w:num w:numId="20">
    <w:abstractNumId w:val="11"/>
  </w:num>
  <w:num w:numId="21">
    <w:abstractNumId w:val="1"/>
  </w:num>
  <w:num w:numId="22">
    <w:abstractNumId w:val="3"/>
  </w:num>
  <w:num w:numId="23">
    <w:abstractNumId w:val="7"/>
  </w:num>
  <w:num w:numId="24">
    <w:abstractNumId w:val="12"/>
  </w:num>
  <w:num w:numId="25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5">
    <w:name w:val="Heading 1"/>
    <w:link w:val="71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6">
    <w:name w:val="Heading 1 Char"/>
    <w:link w:val="715"/>
    <w:uiPriority w:val="9"/>
    <w:rPr>
      <w:rFonts w:ascii="Arial" w:hAnsi="Arial" w:cs="Arial" w:eastAsia="Arial"/>
      <w:sz w:val="40"/>
      <w:szCs w:val="40"/>
    </w:rPr>
  </w:style>
  <w:style w:type="paragraph" w:styleId="717">
    <w:name w:val="Heading 2"/>
    <w:link w:val="71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8">
    <w:name w:val="Heading 2 Char"/>
    <w:link w:val="717"/>
    <w:uiPriority w:val="9"/>
    <w:rPr>
      <w:rFonts w:ascii="Arial" w:hAnsi="Arial" w:cs="Arial" w:eastAsia="Arial"/>
      <w:sz w:val="34"/>
    </w:rPr>
  </w:style>
  <w:style w:type="paragraph" w:styleId="719">
    <w:name w:val="Heading 3"/>
    <w:link w:val="72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0">
    <w:name w:val="Heading 3 Char"/>
    <w:link w:val="719"/>
    <w:uiPriority w:val="9"/>
    <w:rPr>
      <w:rFonts w:ascii="Arial" w:hAnsi="Arial" w:cs="Arial" w:eastAsia="Arial"/>
      <w:sz w:val="30"/>
      <w:szCs w:val="30"/>
    </w:rPr>
  </w:style>
  <w:style w:type="paragraph" w:styleId="721">
    <w:name w:val="Heading 4"/>
    <w:link w:val="72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2">
    <w:name w:val="Heading 4 Char"/>
    <w:link w:val="721"/>
    <w:uiPriority w:val="9"/>
    <w:rPr>
      <w:rFonts w:ascii="Arial" w:hAnsi="Arial" w:cs="Arial" w:eastAsia="Arial"/>
      <w:b/>
      <w:bCs/>
      <w:sz w:val="26"/>
      <w:szCs w:val="26"/>
    </w:rPr>
  </w:style>
  <w:style w:type="paragraph" w:styleId="723">
    <w:name w:val="Heading 5"/>
    <w:link w:val="72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4">
    <w:name w:val="Heading 5 Char"/>
    <w:link w:val="723"/>
    <w:uiPriority w:val="9"/>
    <w:rPr>
      <w:rFonts w:ascii="Arial" w:hAnsi="Arial" w:cs="Arial" w:eastAsia="Arial"/>
      <w:b/>
      <w:bCs/>
      <w:sz w:val="24"/>
      <w:szCs w:val="24"/>
    </w:rPr>
  </w:style>
  <w:style w:type="paragraph" w:styleId="725">
    <w:name w:val="Heading 6"/>
    <w:link w:val="72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6">
    <w:name w:val="Heading 6 Char"/>
    <w:link w:val="725"/>
    <w:uiPriority w:val="9"/>
    <w:rPr>
      <w:rFonts w:ascii="Arial" w:hAnsi="Arial" w:cs="Arial" w:eastAsia="Arial"/>
      <w:b/>
      <w:bCs/>
      <w:sz w:val="22"/>
      <w:szCs w:val="22"/>
    </w:rPr>
  </w:style>
  <w:style w:type="paragraph" w:styleId="727">
    <w:name w:val="Heading 7"/>
    <w:link w:val="72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8">
    <w:name w:val="Heading 7 Char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9">
    <w:name w:val="Heading 8"/>
    <w:link w:val="73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0">
    <w:name w:val="Heading 8 Char"/>
    <w:link w:val="729"/>
    <w:uiPriority w:val="9"/>
    <w:rPr>
      <w:rFonts w:ascii="Arial" w:hAnsi="Arial" w:cs="Arial" w:eastAsia="Arial"/>
      <w:i/>
      <w:iCs/>
      <w:sz w:val="22"/>
      <w:szCs w:val="22"/>
    </w:rPr>
  </w:style>
  <w:style w:type="paragraph" w:styleId="731">
    <w:name w:val="Heading 9"/>
    <w:link w:val="73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2">
    <w:name w:val="Heading 9 Char"/>
    <w:link w:val="731"/>
    <w:uiPriority w:val="9"/>
    <w:rPr>
      <w:rFonts w:ascii="Arial" w:hAnsi="Arial" w:cs="Arial" w:eastAsia="Arial"/>
      <w:i/>
      <w:iCs/>
      <w:sz w:val="21"/>
      <w:szCs w:val="21"/>
    </w:rPr>
  </w:style>
  <w:style w:type="paragraph" w:styleId="733">
    <w:name w:val="List Paragraph"/>
    <w:qFormat/>
    <w:uiPriority w:val="34"/>
    <w:pPr>
      <w:contextualSpacing w:val="true"/>
      <w:ind w:left="720"/>
    </w:pPr>
  </w:style>
  <w:style w:type="paragraph" w:styleId="734">
    <w:name w:val="Title"/>
    <w:link w:val="73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link w:val="737"/>
    <w:qFormat/>
    <w:uiPriority w:val="11"/>
    <w:rPr>
      <w:sz w:val="24"/>
      <w:szCs w:val="24"/>
    </w:rPr>
    <w:pPr>
      <w:spacing w:after="200" w:before="200"/>
    </w:p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link w:val="739"/>
    <w:qFormat/>
    <w:uiPriority w:val="29"/>
    <w:rPr>
      <w:i/>
    </w:rPr>
    <w:pPr>
      <w:ind w:left="720" w:right="720"/>
    </w:p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link w:val="74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link w:val="7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link w:val="876"/>
    <w:uiPriority w:val="99"/>
    <w:semiHidden/>
    <w:unhideWhenUsed/>
    <w:rPr>
      <w:sz w:val="18"/>
    </w:rPr>
    <w:pPr>
      <w:spacing w:lineRule="auto" w:line="240" w:after="40"/>
    </w:p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link w:val="879"/>
    <w:uiPriority w:val="99"/>
    <w:semiHidden/>
    <w:unhideWhenUsed/>
    <w:rPr>
      <w:sz w:val="20"/>
    </w:rPr>
    <w:pPr>
      <w:spacing w:lineRule="auto" w:line="240" w:after="0"/>
    </w:p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uiPriority w:val="39"/>
    <w:unhideWhenUsed/>
    <w:pPr>
      <w:ind w:left="0" w:right="0" w:firstLine="0"/>
      <w:spacing w:after="57"/>
    </w:pPr>
  </w:style>
  <w:style w:type="paragraph" w:styleId="882">
    <w:name w:val="toc 2"/>
    <w:uiPriority w:val="39"/>
    <w:unhideWhenUsed/>
    <w:pPr>
      <w:ind w:left="283" w:right="0" w:firstLine="0"/>
      <w:spacing w:after="57"/>
    </w:pPr>
  </w:style>
  <w:style w:type="paragraph" w:styleId="883">
    <w:name w:val="toc 3"/>
    <w:uiPriority w:val="39"/>
    <w:unhideWhenUsed/>
    <w:pPr>
      <w:ind w:left="567" w:right="0" w:firstLine="0"/>
      <w:spacing w:after="57"/>
    </w:pPr>
  </w:style>
  <w:style w:type="paragraph" w:styleId="884">
    <w:name w:val="toc 4"/>
    <w:uiPriority w:val="39"/>
    <w:unhideWhenUsed/>
    <w:pPr>
      <w:ind w:left="850" w:right="0" w:firstLine="0"/>
      <w:spacing w:after="57"/>
    </w:pPr>
  </w:style>
  <w:style w:type="paragraph" w:styleId="885">
    <w:name w:val="toc 5"/>
    <w:uiPriority w:val="39"/>
    <w:unhideWhenUsed/>
    <w:pPr>
      <w:ind w:left="1134" w:right="0" w:firstLine="0"/>
      <w:spacing w:after="57"/>
    </w:pPr>
  </w:style>
  <w:style w:type="paragraph" w:styleId="886">
    <w:name w:val="toc 6"/>
    <w:uiPriority w:val="39"/>
    <w:unhideWhenUsed/>
    <w:pPr>
      <w:ind w:left="1417" w:right="0" w:firstLine="0"/>
      <w:spacing w:after="57"/>
    </w:pPr>
  </w:style>
  <w:style w:type="paragraph" w:styleId="887">
    <w:name w:val="toc 7"/>
    <w:uiPriority w:val="39"/>
    <w:unhideWhenUsed/>
    <w:pPr>
      <w:ind w:left="1701" w:right="0" w:firstLine="0"/>
      <w:spacing w:after="57"/>
    </w:pPr>
  </w:style>
  <w:style w:type="paragraph" w:styleId="888">
    <w:name w:val="toc 8"/>
    <w:uiPriority w:val="39"/>
    <w:unhideWhenUsed/>
    <w:pPr>
      <w:ind w:left="1984" w:right="0" w:firstLine="0"/>
      <w:spacing w:after="57"/>
    </w:pPr>
  </w:style>
  <w:style w:type="paragraph" w:styleId="889">
    <w:name w:val="toc 9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uiPriority w:val="99"/>
    <w:unhideWhenUsed/>
    <w:pPr>
      <w:spacing w:after="0" w:afterAutospacing="0"/>
    </w:pPr>
  </w:style>
  <w:style w:type="paragraph" w:styleId="892">
    <w:name w:val="Обычный"/>
    <w:next w:val="892"/>
    <w:link w:val="892"/>
    <w:rPr>
      <w:lang w:val="ru-RU" w:bidi="ar-SA" w:eastAsia="ru-RU"/>
    </w:rPr>
    <w:pPr>
      <w:widowControl w:val="off"/>
    </w:pPr>
  </w:style>
  <w:style w:type="character" w:styleId="893">
    <w:name w:val="Основной шрифт абзаца"/>
    <w:next w:val="893"/>
    <w:link w:val="892"/>
    <w:semiHidden/>
  </w:style>
  <w:style w:type="table" w:styleId="894">
    <w:name w:val="Обычная таблица"/>
    <w:next w:val="894"/>
    <w:link w:val="892"/>
    <w:semiHidden/>
    <w:tblPr/>
  </w:style>
  <w:style w:type="numbering" w:styleId="895">
    <w:name w:val="Нет списка"/>
    <w:next w:val="895"/>
    <w:link w:val="892"/>
    <w:semiHidden/>
  </w:style>
  <w:style w:type="paragraph" w:styleId="896">
    <w:name w:val="Текст выноски"/>
    <w:basedOn w:val="892"/>
    <w:next w:val="896"/>
    <w:link w:val="892"/>
    <w:semiHidden/>
    <w:rPr>
      <w:rFonts w:ascii="Tahoma" w:hAnsi="Tahoma"/>
      <w:sz w:val="16"/>
      <w:szCs w:val="16"/>
    </w:rPr>
  </w:style>
  <w:style w:type="paragraph" w:styleId="897">
    <w:name w:val="Верхний колонтитул"/>
    <w:basedOn w:val="892"/>
    <w:next w:val="897"/>
    <w:link w:val="908"/>
    <w:pPr>
      <w:tabs>
        <w:tab w:val="center" w:pos="4677" w:leader="none"/>
        <w:tab w:val="right" w:pos="9355" w:leader="none"/>
      </w:tabs>
    </w:pPr>
  </w:style>
  <w:style w:type="character" w:styleId="898">
    <w:name w:val="Номер страницы"/>
    <w:basedOn w:val="893"/>
    <w:next w:val="898"/>
    <w:link w:val="892"/>
  </w:style>
  <w:style w:type="table" w:styleId="899">
    <w:name w:val="Сетка таблицы"/>
    <w:basedOn w:val="894"/>
    <w:next w:val="899"/>
    <w:link w:val="892"/>
    <w:tblPr/>
  </w:style>
  <w:style w:type="paragraph" w:styleId="900">
    <w:name w:val="ConsPlusNormal"/>
    <w:next w:val="900"/>
    <w:link w:val="902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1">
    <w:name w:val="ConsPlusNonformat"/>
    <w:next w:val="901"/>
    <w:link w:val="892"/>
    <w:rPr>
      <w:rFonts w:ascii="Courier New" w:hAnsi="Courier New"/>
      <w:lang w:val="ru-RU" w:bidi="ar-SA" w:eastAsia="ru-RU"/>
    </w:rPr>
    <w:pPr>
      <w:widowControl w:val="off"/>
    </w:pPr>
  </w:style>
  <w:style w:type="character" w:styleId="902">
    <w:name w:val="ConsPlusNormal Знак"/>
    <w:next w:val="902"/>
    <w:link w:val="900"/>
    <w:rPr>
      <w:rFonts w:ascii="Arial" w:hAnsi="Arial"/>
      <w:lang w:val="ru-RU" w:bidi="ar-SA" w:eastAsia="ru-RU"/>
    </w:rPr>
  </w:style>
  <w:style w:type="paragraph" w:styleId="903">
    <w:name w:val="Название"/>
    <w:basedOn w:val="892"/>
    <w:next w:val="903"/>
    <w:link w:val="892"/>
    <w:rPr>
      <w:b/>
      <w:sz w:val="32"/>
    </w:rPr>
    <w:pPr>
      <w:jc w:val="center"/>
      <w:widowControl/>
    </w:pPr>
  </w:style>
  <w:style w:type="paragraph" w:styleId="904">
    <w:name w:val="Основной текст 3"/>
    <w:basedOn w:val="892"/>
    <w:next w:val="904"/>
    <w:link w:val="892"/>
    <w:rPr>
      <w:sz w:val="16"/>
      <w:szCs w:val="16"/>
    </w:rPr>
    <w:pPr>
      <w:spacing w:after="120"/>
      <w:widowControl/>
    </w:pPr>
  </w:style>
  <w:style w:type="character" w:styleId="905">
    <w:name w:val="Гиперссылка"/>
    <w:next w:val="905"/>
    <w:link w:val="892"/>
    <w:rPr>
      <w:color w:val="0000FF"/>
      <w:u w:val="single"/>
    </w:rPr>
  </w:style>
  <w:style w:type="paragraph" w:styleId="906">
    <w:name w:val="Обычный (веб)"/>
    <w:basedOn w:val="892"/>
    <w:next w:val="906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7">
    <w:name w:val="western"/>
    <w:basedOn w:val="892"/>
    <w:next w:val="907"/>
    <w:link w:val="892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8">
    <w:name w:val="Верхний колонтитул Знак"/>
    <w:next w:val="908"/>
    <w:link w:val="897"/>
    <w:rPr>
      <w:lang w:val="ru-RU" w:bidi="ar-SA" w:eastAsia="ru-RU"/>
    </w:rPr>
  </w:style>
  <w:style w:type="paragraph" w:styleId="909">
    <w:name w:val="Нижний колонтитул"/>
    <w:basedOn w:val="892"/>
    <w:next w:val="909"/>
    <w:link w:val="910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0">
    <w:name w:val="Нижний колонтитул Знак"/>
    <w:next w:val="910"/>
    <w:link w:val="909"/>
    <w:rPr>
      <w:sz w:val="28"/>
      <w:lang w:val="ru-RU" w:bidi="ar-SA" w:eastAsia="ru-RU"/>
    </w:rPr>
  </w:style>
  <w:style w:type="paragraph" w:styleId="911">
    <w:name w:val="Основной текст"/>
    <w:basedOn w:val="892"/>
    <w:next w:val="911"/>
    <w:link w:val="925"/>
    <w:pPr>
      <w:spacing w:after="120"/>
    </w:pPr>
  </w:style>
  <w:style w:type="paragraph" w:styleId="912">
    <w:name w:val="Основной текст с отступом"/>
    <w:basedOn w:val="892"/>
    <w:next w:val="912"/>
    <w:link w:val="892"/>
    <w:pPr>
      <w:ind w:left="283"/>
      <w:spacing w:after="120"/>
    </w:pPr>
  </w:style>
  <w:style w:type="paragraph" w:styleId="913">
    <w:name w:val="Основной текст с отступом 3"/>
    <w:basedOn w:val="892"/>
    <w:next w:val="913"/>
    <w:link w:val="892"/>
    <w:rPr>
      <w:sz w:val="16"/>
      <w:szCs w:val="16"/>
    </w:rPr>
    <w:pPr>
      <w:ind w:left="283"/>
      <w:spacing w:after="120"/>
    </w:pPr>
  </w:style>
  <w:style w:type="paragraph" w:styleId="914">
    <w:name w:val="ConsNonformat"/>
    <w:next w:val="914"/>
    <w:link w:val="892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5">
    <w:name w:val="ConsNormal"/>
    <w:next w:val="915"/>
    <w:link w:val="892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6">
    <w:name w:val="Таблицы (моноширинный)"/>
    <w:basedOn w:val="892"/>
    <w:next w:val="892"/>
    <w:link w:val="892"/>
    <w:rPr>
      <w:rFonts w:ascii="Courier New" w:hAnsi="Courier New"/>
    </w:rPr>
    <w:pPr>
      <w:jc w:val="both"/>
    </w:pPr>
  </w:style>
  <w:style w:type="character" w:styleId="917">
    <w:name w:val="Основной текст2"/>
    <w:next w:val="917"/>
    <w:link w:val="892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8">
    <w:name w:val="ConsPlusTitle"/>
    <w:next w:val="918"/>
    <w:link w:val="892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9">
    <w:name w:val="No Spacing"/>
    <w:next w:val="919"/>
    <w:link w:val="892"/>
    <w:rPr>
      <w:rFonts w:ascii="Calibri" w:hAnsi="Calibri"/>
      <w:sz w:val="22"/>
      <w:szCs w:val="22"/>
      <w:lang w:val="ru-RU" w:bidi="ar-SA" w:eastAsia="ru-RU"/>
    </w:rPr>
  </w:style>
  <w:style w:type="character" w:styleId="920">
    <w:name w:val="Font Style30"/>
    <w:next w:val="920"/>
    <w:link w:val="892"/>
    <w:rPr>
      <w:rFonts w:ascii="Times New Roman" w:hAnsi="Times New Roman"/>
      <w:sz w:val="22"/>
      <w:szCs w:val="22"/>
    </w:rPr>
  </w:style>
  <w:style w:type="paragraph" w:styleId="921">
    <w:name w:val="Знак"/>
    <w:basedOn w:val="892"/>
    <w:next w:val="921"/>
    <w:link w:val="892"/>
    <w:rPr>
      <w:rFonts w:ascii="Verdana" w:hAnsi="Verdana"/>
      <w:sz w:val="24"/>
      <w:szCs w:val="24"/>
      <w:lang w:val="en-US" w:eastAsia="en-US"/>
    </w:rPr>
    <w:pPr>
      <w:spacing w:lineRule="exact" w:line="240" w:after="160"/>
      <w:widowControl/>
    </w:pPr>
  </w:style>
  <w:style w:type="character" w:styleId="922">
    <w:name w:val="Строгий"/>
    <w:next w:val="922"/>
    <w:link w:val="892"/>
    <w:rPr>
      <w:b/>
      <w:bCs/>
    </w:rPr>
  </w:style>
  <w:style w:type="paragraph" w:styleId="923">
    <w:name w:val="Без интервала"/>
    <w:next w:val="923"/>
    <w:link w:val="924"/>
    <w:rPr>
      <w:rFonts w:ascii="Calibri" w:hAnsi="Calibri" w:eastAsia="Calibri"/>
      <w:sz w:val="22"/>
      <w:szCs w:val="22"/>
      <w:lang w:val="ru-RU" w:bidi="ar-SA" w:eastAsia="en-US"/>
    </w:rPr>
  </w:style>
  <w:style w:type="character" w:styleId="924">
    <w:name w:val="Без интервала Знак"/>
    <w:next w:val="924"/>
    <w:link w:val="923"/>
    <w:rPr>
      <w:rFonts w:ascii="Calibri" w:hAnsi="Calibri" w:eastAsia="Calibri"/>
      <w:sz w:val="22"/>
      <w:szCs w:val="22"/>
      <w:lang w:eastAsia="en-US"/>
    </w:rPr>
  </w:style>
  <w:style w:type="character" w:styleId="925">
    <w:name w:val="Основной текст Знак"/>
    <w:next w:val="925"/>
    <w:link w:val="911"/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2025-02-18T05:54:40Z</dcterms:modified>
</cp:coreProperties>
</file>