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отдела </w:t>
      </w:r>
      <w:r>
        <w:rPr>
          <w:color w:val="000000"/>
          <w:sz w:val="24"/>
          <w:szCs w:val="24"/>
        </w:rPr>
        <w:t xml:space="preserve">территориального планирования и ведения ИСОГД</w:t>
      </w:r>
      <w:r>
        <w:rPr>
          <w:color w:val="000000"/>
          <w:sz w:val="24"/>
          <w:szCs w:val="24"/>
        </w:rPr>
        <w:t xml:space="preserve"> администрации </w:t>
      </w:r>
      <w:r>
        <w:rPr>
          <w:sz w:val="24"/>
          <w:szCs w:val="24"/>
        </w:rPr>
        <w:t xml:space="preserve">Новооскольского муниципального округа.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2) правовыми знаниями основ: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б) Федерального закона от 6 октября 2003 года № 131-ФЗ                 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в)</w:t>
            </w:r>
            <w:r>
              <w:rPr>
                <w:sz w:val="24"/>
                <w:szCs w:val="28"/>
                <w:lang w:bidi="ru-RU"/>
              </w:rPr>
              <w:t xml:space="preserve">.</w:t>
            </w:r>
            <w:r>
              <w:rPr>
                <w:sz w:val="24"/>
                <w:szCs w:val="28"/>
                <w:lang w:bidi="ru-RU"/>
              </w:rPr>
              <w:t xml:space="preserve">Федерального закона от 2 марта 2007 года № 25-ФЗ          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г) 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  <w:lang w:bidi="ru-RU"/>
              </w:rPr>
              <w:t xml:space="preserve">д) закона Белгородской области от 24 сентября 2007 года № 150 «Об особенностях организации муниципальной</w:t>
            </w:r>
            <w:r>
              <w:rPr>
                <w:sz w:val="24"/>
                <w:szCs w:val="28"/>
                <w:lang w:bidi="ru-RU"/>
              </w:rPr>
              <w:t xml:space="preserve"> службы                              в Белгородской области».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color w:val="000000"/>
                <w:sz w:val="24"/>
                <w:szCs w:val="24"/>
              </w:rPr>
              <w:t xml:space="preserve">отдела </w:t>
            </w:r>
            <w:r>
              <w:rPr>
                <w:color w:val="000000"/>
                <w:sz w:val="24"/>
                <w:szCs w:val="24"/>
              </w:rPr>
              <w:t xml:space="preserve">территориального планирования и ведения ИСОГД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bidi="ru-RU"/>
              </w:rPr>
              <w:t xml:space="preserve">а) Федеральные законы и иные федеральные нормативные правовые акты: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709" w:right="0" w:hanging="709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Земельный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Градостроительный кодекс Российской Федерации;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Жилищный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Налоговый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Гражданский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Трудовой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sz w:val="24"/>
                <w:szCs w:val="28"/>
                <w:lang w:val="ru-RU" w:bidi="ru-RU"/>
              </w:rPr>
              <w:t xml:space="preserve">Водный кодекс Российской Федерации;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10 января 2002 года № 7-ФЗ «Об охране окружающей среды»;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14 марта 1995 года № 33-ФЗ «Об особо охраняемых природных территориях»;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 мая 2006 года № 59-ФЗ «О порядке рассмотрения обращений граждан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Российской Федерации от 2 марта 2007 года № 25-ФЗ «О муниципальной службе в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27 июля 2010 года № 210-ФЗ                          «Об организации предоставления государственных и муниципальных услуг»;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7 мая 2012 года                 № 601 «Об основных направлениях совершенствования систе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мы государственного управления»;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24 июля 2002 года № 101-ФЗ «Об обороте земель сельскохозяйственного назначения»;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декабря 2004 года № 172-ФЗ                        «О переводе земель или земельных участков из одной категории в другую»;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24 июля 2007 года № 221-ФЗ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                           «О кадастровой деятельности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18 июня 2001 года № 78-ФЗ                              «О землеустройстве»;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19 июля 20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11 года № 246-ФЗ                            «Об искусственных земельных участках, созданных на водных объектах, находящихся в федеральной собственности,                          и о внесении изменений в отдельные законодательные акты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25 декабря 2008 года № 273-ФЗ                         «О противодействии коррупции»;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17 июля 2009 года № 172-ФЗ                           «Об антикоррупционной экспертизе нормативных правовых актов и проектов нормативных правовых актов»;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12 января 1996 года № 7-ФЗ                               «О некоммерческих организациях»;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9 февраля 2009 года № 8-ФЗ                           «Об обеспечении доступа к информации о деятельности государственных органов и органов местного самоуправления»;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25 февраля 1999 года № 39-ФЗ   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июля 1997 года № 117-ФЗ                               «О безопасности гидротехнических сооружений»;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21 декабря 2001 года № 178-ФЗ                       «О приватизации государственного и муниципального имущества»;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Федеральный закон от 14 ноября 2002 года № 161-ФЗ                         «О государственных и муниципальных унитарных предприятиях»;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ре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зидента Российской Федерации от 23 июня 2014 года  № 460 «Об утверждении формы справки о доходах, расходах, об имуществе и обязательствах имущественного характера                       и внесении изменений в некоторые акты Президента Российской Федерации»;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12 августа 2002 года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       № 885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«Об утверждении общих принципов служебного поведения государственных служащих»;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Российской Федерации от 8 июля 2013 года               № 613 «Вопросы противодействия коррупции»;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Указ Президента РФ от 15 июля 2015 года № 364 «О мерах по совершенствованию организации деятельности в области прот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иводействия коррупции».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б) 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аконы и иные нормативные правовые акты Белгородской области: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 от 10 июля 2007 год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 № 133                 (ред. от 03.07.2018 г.)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«О регулировании градостроительной деятельности в Белгородской области»;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ти от 22 декабря 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2015 года № 37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и органами государственной власти Белгородской области»;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 от 01 октя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бря 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 на территории Белгородской области»; </w:t>
            </w:r>
            <w:r>
              <w:rPr>
                <w:sz w:val="24"/>
                <w:lang w:bidi="ru-RU"/>
              </w:rPr>
            </w:r>
            <w:r/>
          </w:p>
          <w:p>
            <w:pPr>
              <w:pStyle w:val="886"/>
              <w:ind w:left="0" w:firstLine="0"/>
              <w:jc w:val="both"/>
              <w:rPr>
                <w:sz w:val="24"/>
                <w:lang w:bidi="ru-RU"/>
              </w:rPr>
            </w:pP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з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акон Белгородской области</w:t>
            </w:r>
            <w:r>
              <w:rPr>
                <w:bCs/>
                <w:iCs/>
                <w:sz w:val="24"/>
                <w:szCs w:val="28"/>
                <w:lang w:bidi="ru-RU" w:eastAsia="en-US"/>
              </w:rPr>
              <w:t xml:space="preserve"> от 29 декабря 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деятельности».</w:t>
            </w:r>
            <w:r>
              <w:rPr>
                <w:sz w:val="24"/>
                <w:lang w:bidi="ru-RU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</w:t>
      </w:r>
      <w:r>
        <w:rPr>
          <w:rFonts w:ascii="Times New Roman" w:hAnsi="Times New Roman"/>
          <w:sz w:val="24"/>
          <w:szCs w:val="28"/>
        </w:rPr>
        <w:t xml:space="preserve">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</w:t>
      </w:r>
      <w:r>
        <w:rPr>
          <w:rFonts w:ascii="Times New Roman" w:hAnsi="Times New Roman"/>
          <w:sz w:val="24"/>
          <w:szCs w:val="28"/>
        </w:rPr>
        <w:t xml:space="preserve">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</w:t>
      </w:r>
      <w:r>
        <w:rPr>
          <w:rFonts w:ascii="Times New Roman" w:hAnsi="Times New Roman"/>
          <w:sz w:val="24"/>
          <w:szCs w:val="28"/>
        </w:rPr>
        <w:t xml:space="preserve">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</w:t>
      </w:r>
      <w:r>
        <w:rPr>
          <w:rFonts w:ascii="Times New Roman" w:hAnsi="Times New Roman"/>
          <w:sz w:val="24"/>
          <w:szCs w:val="28"/>
        </w:rPr>
        <w:t xml:space="preserve">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</w:t>
      </w:r>
      <w:r>
        <w:rPr>
          <w:rFonts w:ascii="Times New Roman" w:hAnsi="Times New Roman"/>
          <w:sz w:val="24"/>
          <w:szCs w:val="28"/>
        </w:rPr>
        <w:t xml:space="preserve">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</w:t>
      </w:r>
      <w:r>
        <w:rPr>
          <w:rFonts w:ascii="Times New Roman" w:hAnsi="Times New Roman"/>
          <w:sz w:val="24"/>
          <w:szCs w:val="28"/>
        </w:rPr>
        <w:t xml:space="preserve"> Собл</w:t>
      </w:r>
      <w:r>
        <w:rPr>
          <w:rFonts w:ascii="Times New Roman" w:hAnsi="Times New Roman"/>
          <w:sz w:val="24"/>
          <w:szCs w:val="28"/>
        </w:rPr>
        <w:t xml:space="preserve">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</w:t>
      </w:r>
      <w:r>
        <w:rPr>
          <w:rFonts w:ascii="Times New Roman" w:hAnsi="Times New Roman"/>
          <w:sz w:val="24"/>
          <w:szCs w:val="28"/>
        </w:rPr>
        <w:t xml:space="preserve">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</w:t>
      </w:r>
      <w:r>
        <w:rPr>
          <w:rFonts w:ascii="Times New Roman" w:hAnsi="Times New Roman"/>
          <w:sz w:val="24"/>
          <w:szCs w:val="28"/>
        </w:rPr>
        <w:t xml:space="preserve"> Соблюдать установленный служебный распорядок, </w:t>
      </w:r>
      <w:r>
        <w:rPr>
          <w:rFonts w:ascii="Times New Roman" w:hAnsi="Times New Roman"/>
          <w:sz w:val="24"/>
          <w:szCs w:val="28"/>
        </w:rPr>
        <w:t xml:space="preserve">К</w:t>
      </w:r>
      <w:r>
        <w:rPr>
          <w:rFonts w:ascii="Times New Roman" w:hAnsi="Times New Roman"/>
          <w:sz w:val="24"/>
          <w:szCs w:val="28"/>
        </w:rPr>
        <w:t xml:space="preserve">одекс поведения  муниципальн</w:t>
      </w:r>
      <w:r>
        <w:rPr>
          <w:rFonts w:ascii="Times New Roman" w:hAnsi="Times New Roman"/>
          <w:sz w:val="24"/>
          <w:szCs w:val="28"/>
        </w:rPr>
        <w:t xml:space="preserve">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</w:t>
      </w:r>
      <w:r>
        <w:rPr>
          <w:rFonts w:ascii="Times New Roman" w:hAnsi="Times New Roman"/>
          <w:sz w:val="24"/>
          <w:szCs w:val="28"/>
        </w:rPr>
        <w:t xml:space="preserve">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</w:t>
      </w:r>
      <w:r>
        <w:rPr>
          <w:rFonts w:ascii="Times New Roman" w:hAnsi="Times New Roman"/>
          <w:sz w:val="24"/>
          <w:szCs w:val="28"/>
        </w:rPr>
        <w:t xml:space="preserve">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</w:t>
      </w:r>
      <w:r>
        <w:rPr>
          <w:rFonts w:ascii="Times New Roman" w:hAnsi="Times New Roman"/>
          <w:sz w:val="24"/>
          <w:szCs w:val="28"/>
        </w:rPr>
        <w:t xml:space="preserve">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</w:t>
      </w:r>
      <w:r>
        <w:rPr>
          <w:rFonts w:ascii="Times New Roman" w:hAnsi="Times New Roman"/>
          <w:sz w:val="24"/>
          <w:szCs w:val="28"/>
        </w:rPr>
        <w:t xml:space="preserve">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</w:t>
      </w:r>
      <w:r>
        <w:rPr>
          <w:rFonts w:ascii="Times New Roman" w:hAnsi="Times New Roman"/>
          <w:sz w:val="24"/>
          <w:szCs w:val="28"/>
        </w:rPr>
        <w:t xml:space="preserve">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</w:t>
      </w:r>
      <w:r>
        <w:rPr>
          <w:rFonts w:ascii="Times New Roman" w:hAnsi="Times New Roman"/>
          <w:sz w:val="24"/>
          <w:szCs w:val="28"/>
        </w:rPr>
        <w:t xml:space="preserve"> При определённых обстоятельствах принимает самостоятельные </w:t>
      </w:r>
      <w:r>
        <w:rPr>
          <w:rFonts w:ascii="Times New Roman" w:hAnsi="Times New Roman"/>
          <w:sz w:val="24"/>
          <w:szCs w:val="28"/>
        </w:rPr>
        <w:t xml:space="preserve">управленческие и иные решения с учётом задач и функций, возложенных на структурное подразделение, и в соответствии с должностными обязанностями по занимаемой должности муниципальной службы.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Участвует при подготовке проектов нормативных правовых актов и (или) проектов управленческих и иных решений с учётом задач и функций, возложенных на структурное подразделение и в соответствии с должностными обязанностями.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Осуществляет руководство отделом и несет персональную ответственность за надлежащее выполнение возложенных на отдел задач и функций.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Распределяет обязанности между специалистами отдела.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Обеспечивает информационно - аналитическую деятельность главы администрации городского округа по вопросам</w:t>
      </w:r>
      <w:r>
        <w:rPr>
          <w:rFonts w:ascii="Times New Roman" w:hAnsi="Times New Roman"/>
          <w:sz w:val="24"/>
          <w:szCs w:val="28"/>
        </w:rPr>
        <w:t xml:space="preserve"> градостроительства и территориального планирования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</w:t>
      </w:r>
      <w:r>
        <w:rPr>
          <w:rFonts w:ascii="Times New Roman" w:hAnsi="Times New Roman"/>
          <w:sz w:val="24"/>
          <w:szCs w:val="28"/>
        </w:rPr>
        <w:t xml:space="preserve"> Готовит мероприятия, направленные на улучшение градостроительной обстановки.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</w:t>
      </w:r>
      <w:r>
        <w:rPr>
          <w:rFonts w:ascii="Times New Roman" w:hAnsi="Times New Roman"/>
          <w:sz w:val="24"/>
          <w:szCs w:val="28"/>
        </w:rPr>
        <w:t xml:space="preserve"> Участвует в разработке нормативно-правовых документов в области градостроительства.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Обеспечивает своевременное и качественное рассмотрение предложений и жалоб физических и юридических лиц, относящихся к компетенции отдела и подготавливает на них ответы.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Разрабатывает генеральный план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правила землепользования и застройки.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</w:t>
      </w:r>
      <w:r>
        <w:rPr>
          <w:rFonts w:ascii="Times New Roman" w:hAnsi="Times New Roman"/>
          <w:sz w:val="24"/>
          <w:szCs w:val="28"/>
        </w:rPr>
        <w:t xml:space="preserve"> Разрабатывает на основе генеральных планов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документацию по планировке территории, выдает разрешение на строительство (за исключением случаев, предусмотр</w:t>
      </w:r>
      <w:r>
        <w:rPr>
          <w:rFonts w:ascii="Times New Roman" w:hAnsi="Times New Roman"/>
          <w:sz w:val="24"/>
          <w:szCs w:val="28"/>
        </w:rPr>
        <w:t xml:space="preserve">енных Градостроительным кодексом Российской Федерации, иными федеральными законами), разрешение на ввод объектов в эксплуатацию при осуществлении строительства, реконструкции объектов капитального строительства, расположенных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</w:t>
      </w:r>
      <w:r>
        <w:rPr>
          <w:rFonts w:ascii="Times New Roman" w:hAnsi="Times New Roman"/>
          <w:sz w:val="24"/>
          <w:szCs w:val="28"/>
        </w:rPr>
        <w:t xml:space="preserve"> Утверждает местные нормативы градостроительного проектирования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ведение информационной системы обеспечения градостроительной деятельности, осуществляемой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</w:t>
      </w:r>
      <w:r>
        <w:rPr>
          <w:rFonts w:ascii="Times New Roman" w:hAnsi="Times New Roman"/>
          <w:sz w:val="24"/>
          <w:szCs w:val="28"/>
        </w:rPr>
        <w:t xml:space="preserve"> Направляет уведомления о соответствии указанных в </w:t>
      </w:r>
      <w:r>
        <w:rPr>
          <w:rFonts w:ascii="Times New Roman" w:hAnsi="Times New Roman"/>
          <w:sz w:val="24"/>
          <w:szCs w:val="28"/>
        </w:rPr>
        <w:t xml:space="preserve">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 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</w:t>
      </w:r>
      <w:r>
        <w:rPr>
          <w:rFonts w:ascii="Times New Roman" w:hAnsi="Times New Roman"/>
          <w:sz w:val="24"/>
          <w:szCs w:val="28"/>
        </w:rPr>
        <w:t xml:space="preserve"> Уведомляет о несоответствии указанных в уведомл</w:t>
      </w:r>
      <w:r>
        <w:rPr>
          <w:rFonts w:ascii="Times New Roman" w:hAnsi="Times New Roman"/>
          <w:sz w:val="24"/>
          <w:szCs w:val="28"/>
        </w:rPr>
        <w:t xml:space="preserve">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</w:t>
      </w:r>
      <w:r>
        <w:rPr>
          <w:rFonts w:ascii="Times New Roman" w:hAnsi="Times New Roman"/>
          <w:sz w:val="24"/>
          <w:szCs w:val="28"/>
        </w:rPr>
        <w:t xml:space="preserve"> Уведомляет о соответствии или несоответствии построенных или реконструированных объекта индивидуального жилищного строител</w:t>
      </w:r>
      <w:r>
        <w:rPr>
          <w:rFonts w:ascii="Times New Roman" w:hAnsi="Times New Roman"/>
          <w:sz w:val="24"/>
          <w:szCs w:val="28"/>
        </w:rPr>
        <w:t xml:space="preserve">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</w:t>
      </w:r>
      <w:r>
        <w:rPr>
          <w:rFonts w:ascii="Times New Roman" w:hAnsi="Times New Roman"/>
          <w:sz w:val="24"/>
          <w:szCs w:val="28"/>
        </w:rPr>
        <w:t xml:space="preserve"> Присваивает адреса объектам адресации, изменение, аннулирование адресов, </w:t>
      </w:r>
      <w:r>
        <w:rPr>
          <w:rFonts w:ascii="Times New Roman" w:hAnsi="Times New Roman"/>
          <w:sz w:val="24"/>
          <w:szCs w:val="28"/>
        </w:rPr>
        <w:t xml:space="preserve">присваивает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изменение, аннулирование таких наименований, размещение информации в государственном адресном реестре.</w:t>
      </w:r>
      <w:r>
        <w:rPr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1. </w:t>
      </w:r>
      <w:r>
        <w:rPr>
          <w:rStyle w:val="917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7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7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7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rStyle w:val="917"/>
          <w:sz w:val="24"/>
          <w:szCs w:val="24"/>
        </w:rPr>
      </w:pPr>
      <w:r>
        <w:rPr>
          <w:rStyle w:val="917"/>
          <w:sz w:val="24"/>
          <w:szCs w:val="24"/>
        </w:rPr>
        <w:t xml:space="preserve">2.2. Качество выполненных работ.</w:t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6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7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5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  <w:ind w:left="0" w:firstLine="0"/>
        </w:pPr>
        <w:rPr>
          <w:rFonts w:ascii="Times New Roman" w:hAnsi="Times New Roman"/>
        </w:rPr>
      </w:lvl>
    </w:lvlOverride>
  </w:num>
  <w:num w:numId="20">
    <w:abstractNumId w:val="13"/>
  </w:num>
  <w:num w:numId="21">
    <w:abstractNumId w:val="14"/>
  </w:num>
  <w:num w:numId="22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link w:val="70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9">
    <w:name w:val="Heading 1 Char"/>
    <w:link w:val="708"/>
    <w:uiPriority w:val="9"/>
    <w:rPr>
      <w:rFonts w:ascii="Arial" w:hAnsi="Arial" w:cs="Arial" w:eastAsia="Arial"/>
      <w:sz w:val="40"/>
      <w:szCs w:val="40"/>
    </w:rPr>
  </w:style>
  <w:style w:type="paragraph" w:styleId="710">
    <w:name w:val="Heading 2"/>
    <w:link w:val="71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1">
    <w:name w:val="Heading 2 Char"/>
    <w:link w:val="710"/>
    <w:uiPriority w:val="9"/>
    <w:rPr>
      <w:rFonts w:ascii="Arial" w:hAnsi="Arial" w:cs="Arial" w:eastAsia="Arial"/>
      <w:sz w:val="34"/>
    </w:rPr>
  </w:style>
  <w:style w:type="paragraph" w:styleId="712">
    <w:name w:val="Heading 3"/>
    <w:link w:val="71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3">
    <w:name w:val="Heading 3 Char"/>
    <w:link w:val="712"/>
    <w:uiPriority w:val="9"/>
    <w:rPr>
      <w:rFonts w:ascii="Arial" w:hAnsi="Arial" w:cs="Arial" w:eastAsia="Arial"/>
      <w:sz w:val="30"/>
      <w:szCs w:val="30"/>
    </w:rPr>
  </w:style>
  <w:style w:type="paragraph" w:styleId="714">
    <w:name w:val="Heading 4"/>
    <w:link w:val="71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5">
    <w:name w:val="Heading 4 Char"/>
    <w:link w:val="714"/>
    <w:uiPriority w:val="9"/>
    <w:rPr>
      <w:rFonts w:ascii="Arial" w:hAnsi="Arial" w:cs="Arial" w:eastAsia="Arial"/>
      <w:b/>
      <w:bCs/>
      <w:sz w:val="26"/>
      <w:szCs w:val="26"/>
    </w:rPr>
  </w:style>
  <w:style w:type="paragraph" w:styleId="716">
    <w:name w:val="Heading 5"/>
    <w:link w:val="71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7">
    <w:name w:val="Heading 5 Char"/>
    <w:link w:val="716"/>
    <w:uiPriority w:val="9"/>
    <w:rPr>
      <w:rFonts w:ascii="Arial" w:hAnsi="Arial" w:cs="Arial" w:eastAsia="Arial"/>
      <w:b/>
      <w:bCs/>
      <w:sz w:val="24"/>
      <w:szCs w:val="24"/>
    </w:rPr>
  </w:style>
  <w:style w:type="paragraph" w:styleId="718">
    <w:name w:val="Heading 6"/>
    <w:link w:val="71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9">
    <w:name w:val="Heading 6 Char"/>
    <w:link w:val="718"/>
    <w:uiPriority w:val="9"/>
    <w:rPr>
      <w:rFonts w:ascii="Arial" w:hAnsi="Arial" w:cs="Arial" w:eastAsia="Arial"/>
      <w:b/>
      <w:bCs/>
      <w:sz w:val="22"/>
      <w:szCs w:val="22"/>
    </w:rPr>
  </w:style>
  <w:style w:type="paragraph" w:styleId="720">
    <w:name w:val="Heading 7"/>
    <w:link w:val="72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1">
    <w:name w:val="Heading 7 Char"/>
    <w:link w:val="72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2">
    <w:name w:val="Heading 8"/>
    <w:link w:val="72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3">
    <w:name w:val="Heading 8 Char"/>
    <w:link w:val="722"/>
    <w:uiPriority w:val="9"/>
    <w:rPr>
      <w:rFonts w:ascii="Arial" w:hAnsi="Arial" w:cs="Arial" w:eastAsia="Arial"/>
      <w:i/>
      <w:iCs/>
      <w:sz w:val="22"/>
      <w:szCs w:val="22"/>
    </w:rPr>
  </w:style>
  <w:style w:type="paragraph" w:styleId="724">
    <w:name w:val="Heading 9"/>
    <w:link w:val="72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5">
    <w:name w:val="Heading 9 Char"/>
    <w:link w:val="724"/>
    <w:uiPriority w:val="9"/>
    <w:rPr>
      <w:rFonts w:ascii="Arial" w:hAnsi="Arial" w:cs="Arial" w:eastAsia="Arial"/>
      <w:i/>
      <w:iCs/>
      <w:sz w:val="21"/>
      <w:szCs w:val="21"/>
    </w:rPr>
  </w:style>
  <w:style w:type="paragraph" w:styleId="726">
    <w:name w:val="List Paragraph"/>
    <w:qFormat/>
    <w:uiPriority w:val="34"/>
    <w:pPr>
      <w:contextualSpacing w:val="true"/>
      <w:ind w:left="720"/>
    </w:pPr>
  </w:style>
  <w:style w:type="paragraph" w:styleId="727">
    <w:name w:val="No Spacing"/>
    <w:qFormat/>
    <w:uiPriority w:val="1"/>
    <w:pPr>
      <w:spacing w:lineRule="auto" w:line="240" w:after="0" w:before="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917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ConsPlusTitle"/>
    <w:next w:val="912"/>
    <w:link w:val="88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13">
    <w:name w:val="Font Style48"/>
    <w:next w:val="913"/>
    <w:link w:val="886"/>
    <w:rPr>
      <w:rFonts w:ascii="Times New Roman" w:hAnsi="Times New Roman"/>
      <w:b/>
      <w:bCs/>
      <w:sz w:val="26"/>
      <w:szCs w:val="26"/>
    </w:rPr>
  </w:style>
  <w:style w:type="character" w:styleId="914">
    <w:name w:val="Font Style49"/>
    <w:next w:val="914"/>
    <w:link w:val="886"/>
    <w:rPr>
      <w:rFonts w:ascii="Times New Roman" w:hAnsi="Times New Roman"/>
      <w:sz w:val="26"/>
      <w:szCs w:val="26"/>
    </w:rPr>
  </w:style>
  <w:style w:type="character" w:styleId="915">
    <w:name w:val="Font Style30"/>
    <w:next w:val="915"/>
    <w:link w:val="886"/>
    <w:rPr>
      <w:rFonts w:ascii="Times New Roman" w:hAnsi="Times New Roman"/>
      <w:sz w:val="22"/>
      <w:szCs w:val="22"/>
    </w:rPr>
  </w:style>
  <w:style w:type="character" w:styleId="916">
    <w:name w:val="Font Style29"/>
    <w:next w:val="916"/>
    <w:link w:val="886"/>
    <w:rPr>
      <w:rFonts w:ascii="Times New Roman" w:hAnsi="Times New Roman"/>
      <w:b/>
      <w:bCs/>
      <w:sz w:val="22"/>
      <w:szCs w:val="22"/>
    </w:rPr>
  </w:style>
  <w:style w:type="character" w:styleId="917">
    <w:name w:val="Основной текст Знак"/>
    <w:basedOn w:val="887"/>
    <w:next w:val="917"/>
    <w:link w:val="905"/>
  </w:style>
  <w:style w:type="paragraph" w:styleId="918">
    <w:name w:val="Основной текст с отступом 2"/>
    <w:basedOn w:val="886"/>
    <w:next w:val="918"/>
    <w:link w:val="919"/>
    <w:pPr>
      <w:ind w:left="283"/>
      <w:spacing w:lineRule="auto" w:line="480" w:after="120"/>
    </w:pPr>
  </w:style>
  <w:style w:type="character" w:styleId="919">
    <w:name w:val="Основной текст с отступом 2 Знак"/>
    <w:basedOn w:val="887"/>
    <w:next w:val="919"/>
    <w:link w:val="918"/>
  </w:style>
  <w:style w:type="character" w:styleId="920">
    <w:name w:val="Основной текст (4)_"/>
    <w:next w:val="920"/>
    <w:link w:val="921"/>
    <w:rPr>
      <w:spacing w:val="9"/>
      <w:sz w:val="16"/>
      <w:szCs w:val="16"/>
      <w:shd w:val="clear" w:fill="FFFFFF" w:color="auto"/>
    </w:rPr>
  </w:style>
  <w:style w:type="paragraph" w:styleId="921">
    <w:name w:val="Основной текст (4)"/>
    <w:basedOn w:val="886"/>
    <w:next w:val="921"/>
    <w:link w:val="920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22" w:default="1">
    <w:name w:val="Default Paragraph Font"/>
    <w:uiPriority w:val="1"/>
    <w:semiHidden/>
    <w:unhideWhenUsed/>
  </w:style>
  <w:style w:type="numbering" w:styleId="923" w:default="1">
    <w:name w:val="No List"/>
    <w:uiPriority w:val="99"/>
    <w:semiHidden/>
    <w:unhideWhenUsed/>
  </w:style>
  <w:style w:type="paragraph" w:styleId="924" w:default="1">
    <w:name w:val="Normal"/>
    <w:qFormat/>
  </w:style>
  <w:style w:type="table" w:styleId="925" w:default="1">
    <w:name w:val="Normal Table"/>
    <w:uiPriority w:val="99"/>
    <w:semiHidden/>
    <w:unhideWhenUsed/>
    <w:tblPr/>
  </w:style>
  <w:style w:type="paragraph" w:styleId="926" w:customStyle="1">
    <w:name w:val="Основной текст3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317" w:after="0" w:afterAutospacing="0" w:before="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2025-02-18T05:56:28Z</dcterms:modified>
</cp:coreProperties>
</file>