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2025-04-29T10:26:41Z</dcterms:modified>
</cp:coreProperties>
</file>