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 Белгородской области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 </w:t>
      </w:r>
      <w:r>
        <w:rPr>
          <w:color w:val="000000"/>
          <w:sz w:val="24"/>
          <w:szCs w:val="24"/>
        </w:rPr>
        <w:t xml:space="preserve">отдела  </w:t>
      </w:r>
      <w:r>
        <w:rPr>
          <w:color w:val="000000"/>
          <w:sz w:val="24"/>
          <w:szCs w:val="24"/>
        </w:rPr>
        <w:t xml:space="preserve">общего</w:t>
      </w:r>
      <w:r>
        <w:rPr>
          <w:color w:val="000000"/>
          <w:sz w:val="24"/>
          <w:szCs w:val="24"/>
        </w:rPr>
        <w:t xml:space="preserve"> образования </w:t>
      </w:r>
      <w:r>
        <w:rPr>
          <w:color w:val="000000"/>
          <w:sz w:val="24"/>
          <w:szCs w:val="24"/>
        </w:rPr>
        <w:t xml:space="preserve">управления</w:t>
      </w:r>
      <w:r>
        <w:rPr>
          <w:color w:val="000000"/>
          <w:sz w:val="24"/>
          <w:szCs w:val="24"/>
        </w:rPr>
        <w:t xml:space="preserve"> образования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sz w:val="24"/>
          <w:szCs w:val="24"/>
        </w:rPr>
        <w:t xml:space="preserve">муниципального </w:t>
      </w:r>
      <w:r>
        <w:rPr>
          <w:color w:val="000000"/>
          <w:sz w:val="24"/>
          <w:szCs w:val="24"/>
        </w:rPr>
        <w:t xml:space="preserve">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а) личное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\l "Par472"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заявление</w: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 xml:space="preserve"> на имя представителя нанимателя;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копию </w:t>
      </w:r>
      <w:r>
        <w:rPr>
          <w:color w:val="000000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color w:val="000000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(форма 001-ГС/у)</w: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 xml:space="preserve">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color w:val="000000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ж) иные документы, предусмотренные Федеральным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 xml:space="preserve"> от 02 марта 2007 года </w:t>
      </w:r>
      <w:r>
        <w:rPr>
          <w:color w:val="000000"/>
          <w:sz w:val="24"/>
          <w:szCs w:val="24"/>
        </w:rPr>
        <w:t xml:space="preserve">                   </w:t>
      </w:r>
      <w:r>
        <w:rPr>
          <w:color w:val="000000"/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color w:val="000000"/>
          <w:sz w:val="24"/>
        </w:rPr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образования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</w:t>
      </w:r>
      <w:r>
        <w:rPr>
          <w:rFonts w:ascii="Times New Roman" w:hAnsi="Times New Roman"/>
          <w:sz w:val="24"/>
          <w:szCs w:val="24"/>
        </w:rPr>
        <w:t xml:space="preserve">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9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образования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</w:t>
      </w:r>
      <w:r/>
    </w:p>
    <w:p>
      <w:pPr>
        <w:pStyle w:val="890"/>
        <w:jc w:val="center"/>
        <w:rPr>
          <w:b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работы по специальности</w:t>
      </w:r>
      <w:r>
        <w:rPr>
          <w:color w:val="000000"/>
          <w:sz w:val="24"/>
          <w:szCs w:val="24"/>
        </w:rPr>
      </w:r>
      <w:r/>
    </w:p>
    <w:p>
      <w:pPr>
        <w:pStyle w:val="890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 специалист</w:t>
            </w:r>
            <w:r>
              <w:rPr>
                <w:color w:val="000000"/>
                <w:sz w:val="24"/>
                <w:szCs w:val="24"/>
              </w:rPr>
              <w:t xml:space="preserve">    </w:t>
            </w:r>
            <w:r>
              <w:rPr>
                <w:color w:val="000000"/>
                <w:sz w:val="24"/>
                <w:szCs w:val="24"/>
              </w:rPr>
              <w:t xml:space="preserve">отдела  общего образования управления образования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Уровень профессионального образования для замещения должн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сти муниципальной службы </w:t>
            </w: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высшее образование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0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/>
    </w:p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</w:t>
      </w:r>
      <w:r/>
    </w:p>
    <w:p>
      <w:pPr>
        <w:pStyle w:val="890"/>
        <w:jc w:val="center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95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  </w:t>
            </w:r>
            <w:r>
              <w:rPr>
                <w:color w:val="000000"/>
                <w:sz w:val="24"/>
                <w:szCs w:val="24"/>
              </w:rPr>
              <w:t xml:space="preserve">отдела  общего образования управления образования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государственного языка Российской Федерации (русского языка); 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основ Конституции Российской Федерации, Устава Белгородской области, Устава Новооскольского муниципального округа;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федеральных законов и иных нормативных правовых актов Российской Федерации, законов Белгородской области и иных нормативных правовых актов Белгородской области, решений Муници</w:t>
            </w:r>
            <w:r>
              <w:rPr>
                <w:sz w:val="24"/>
                <w:szCs w:val="24"/>
              </w:rPr>
              <w:t xml:space="preserve">пального совета Новооскольского городского округа, постановлений и распоряжений главы администрации Новооскольского городского округа, соответствующих направлениям деятельности муниципального служащего и применительно к исполнению должностных обязанностей;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законодательства о муниципальной службе;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законодательства о противодействию коррупции;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основ государственного и муниципального управления;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нормативных правовых актов, регламентирующих служебную деятельность;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основ делопроизводства и документооборота;</w:t>
            </w:r>
            <w:r/>
          </w:p>
          <w:p>
            <w:pPr>
              <w:pStyle w:val="890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знание основных положений антимонопольного законодательства.</w:t>
            </w:r>
            <w:r/>
          </w:p>
          <w:p>
            <w:pPr>
              <w:pStyle w:val="890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навыки владения современными средствами, методами и технологией работы с информацией;</w:t>
            </w:r>
            <w:r/>
          </w:p>
          <w:p>
            <w:pPr>
              <w:pStyle w:val="890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навыки работы с документами (составление, оформление, анализ, ведение и хранение документации и иные практические навыки работы с документами);</w:t>
            </w:r>
            <w:r/>
          </w:p>
          <w:p>
            <w:pPr>
              <w:pStyle w:val="890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навыки и организации личного труда;</w:t>
            </w:r>
            <w:r/>
          </w:p>
          <w:p>
            <w:pPr>
              <w:pStyle w:val="890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навыки планирования рабочего времени;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коммуникативные навыки.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04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  </w:t>
            </w:r>
            <w:r>
              <w:rPr>
                <w:color w:val="000000"/>
                <w:sz w:val="24"/>
                <w:szCs w:val="24"/>
              </w:rPr>
              <w:t xml:space="preserve">отдела  общего образования управления образования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0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владения современными средствами, методами и технологией работы с информацией;</w:t>
            </w:r>
            <w:r/>
          </w:p>
          <w:p>
            <w:pPr>
              <w:pStyle w:val="890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работы с документами (составление, оформление, анализ, ведение и хранение документации и иные практические навыки работы с документами);</w:t>
            </w:r>
            <w:r/>
          </w:p>
          <w:p>
            <w:pPr>
              <w:pStyle w:val="890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и организации личного труда;</w:t>
            </w:r>
            <w:r/>
          </w:p>
          <w:p>
            <w:pPr>
              <w:pStyle w:val="890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планирования рабочего времени;</w:t>
            </w:r>
            <w:r/>
          </w:p>
          <w:p>
            <w:pPr>
              <w:pStyle w:val="890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коммуникативные навыки.</w:t>
            </w: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знание основ права, экономики, социально-политических аспектов развития общества;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знание основ управления персоналом;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достижения целей, стратегического планирования, прогнозирования, координирования организации совместной деятельности, аналитической работы, систе</w:t>
            </w:r>
            <w:r>
              <w:rPr>
                <w:color w:val="000000"/>
                <w:sz w:val="24"/>
                <w:szCs w:val="24"/>
              </w:rPr>
              <w:t xml:space="preserve">много подхода в решении задач, принятия управленческого решения, осуществления контроля, ведения деловых переговоров, публичных выступлений, устного и письменного представления информации, проведения совещаний, разрешения конфликтов, формирования эффективн</w:t>
            </w:r>
            <w:r>
              <w:rPr>
                <w:color w:val="000000"/>
                <w:sz w:val="24"/>
                <w:szCs w:val="24"/>
              </w:rPr>
              <w:t xml:space="preserve">ого взаимодействия в коллективе, делегирования полномочий подчиненным, умение ставить перед подчиненными достижимые задачи, оптимального использования потенциальных возможностей персонала, другие навыки, необходимые для исполнения должностных обязанностей.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правовых аспектов в области информационно-коммуникационных технологий;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программных документов и приоритетов государственной политики в области информационно-коммуникационных технологий;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правовых аспектов в сфере предоставления государственных услуг населению и организациям посредством применения информационно-коммуникационных технологий;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аппаратного и программного обеспечения;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возможностей и особенностей применения, современных  информационно-коммуникационных технологий в государственных органах, включая использование возможностей межведомственного документооборота;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общих вопросов в области обеспечения информационной безопасности;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 проектного управления.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стратегического планирования и управления групповой деятельностью с учетом возможностей и особенностей применения, современных  информационно-коммуникационных технологий в государственных органах;</w:t>
            </w:r>
            <w:r/>
          </w:p>
          <w:p>
            <w:pPr>
              <w:pStyle w:val="890"/>
              <w:jc w:val="both"/>
            </w:pPr>
            <w:r>
              <w:rPr>
                <w:color w:val="000000"/>
                <w:sz w:val="24"/>
                <w:szCs w:val="24"/>
              </w:rPr>
              <w:t xml:space="preserve">- работы с внутренними и периферийными устройствами компьютера;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информационно-телекоммуникационными сетями, в том числе сетью Интернет;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в операционной системе;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управления электронной почтой;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в текстовом редакторе;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электронными таблицами;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базами данных;</w:t>
            </w:r>
            <w:r/>
          </w:p>
          <w:p>
            <w:pPr>
              <w:pStyle w:val="89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системами управления проектами.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9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– осуществляет мониторинг и координирует работу образовательных учреждений Новооскольского городского округа по следующим направлениям:</w:t>
      </w:r>
      <w:r>
        <w:rPr>
          <w:sz w:val="24"/>
          <w:szCs w:val="24"/>
        </w:rPr>
      </w:r>
      <w:r/>
    </w:p>
    <w:p>
      <w:pPr>
        <w:pStyle w:val="89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– антитеррористическая безопасность;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охрана труда и техника безопасности;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безопасность дорожного движения;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гражданская оборона;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пожарная безопасность;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допризывная подготовка;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физическое воспитание;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перевозки детей;</w:t>
      </w:r>
      <w:r/>
    </w:p>
    <w:p>
      <w:pPr>
        <w:pStyle w:val="89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участвует в работе призывной комиссии Военного комиссариата Новооскольского и Чернянского районов Белгородской области по Новооскольскому муниципальному округу;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организует про</w:t>
      </w:r>
      <w:r>
        <w:rPr>
          <w:sz w:val="24"/>
          <w:szCs w:val="24"/>
        </w:rPr>
        <w:t xml:space="preserve">ведение муниципальных спортивных конкурсов и соревнований среди учащихся общеобразовательных учреждений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 Осуществляет подготовку к участию команд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региональных этапах данных соревнований;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организует работу комиссии по приёмке образовательных учреждений к началу нового учебного года;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участвует в работе комиссии по обследованию и открытию маршрутов движения школьных автобусов;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осуществляет работу по охране труда в управлении образования администрации Новооскольского городского округа.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осуществляет ведение воинского учёта и бронирование граждан пребывающих в запасе работающих в управлении образования администрации Новооскольского городского округа;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участвует в реализации федеральных, областных, муниципальных программ в области образования;</w:t>
      </w:r>
      <w:r/>
    </w:p>
    <w:p>
      <w:pPr>
        <w:pStyle w:val="890"/>
        <w:ind w:firstLine="72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участвует в реализации федеральных и областных целевых пр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грамм и проектов в области образования;</w:t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инициирует и участвует в реализации муниципальных проектов начального общего, основного общего, среднего общего образования, дополнител</w:t>
      </w:r>
      <w:r>
        <w:rPr>
          <w:sz w:val="24"/>
          <w:szCs w:val="24"/>
        </w:rPr>
        <w:t xml:space="preserve">ь</w:t>
      </w:r>
      <w:r>
        <w:rPr>
          <w:sz w:val="24"/>
          <w:szCs w:val="24"/>
        </w:rPr>
        <w:t xml:space="preserve">ного образования;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является ответственным за оказание информационно-консультативной поддержки в организации образовательного процесса в следующих образовательных организациях: МБОУ «Беломестненская СОШ», МБОУ «Солонец-Полянская ООШ»;</w:t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использует в своей работе инфо</w:t>
      </w:r>
      <w:r>
        <w:rPr>
          <w:sz w:val="24"/>
          <w:szCs w:val="24"/>
        </w:rPr>
        <w:t xml:space="preserve">рмационные технологии: справочно-правовые информационные системы «Консультант Плюс», «Гарант»; электронно-почтовая служба, интернет и интранет сети; подсистема управления внутренними процессами региональной информационной аналитической системы (ПУВП РИАС);</w:t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соблюдает установленные правила информационной безопасности;</w:t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участвует в мерах по формированию культуры бережливого управления в управлении образования администрации Новооскольского городского округа;</w:t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городского округа;</w:t>
      </w:r>
      <w:r/>
    </w:p>
    <w:p>
      <w:pPr>
        <w:pStyle w:val="89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- осуществляет реализацию мероприятий антимонопольного комплаенса в администрации Новооскольского городского округа в соо</w:t>
      </w:r>
      <w:r>
        <w:rPr>
          <w:sz w:val="24"/>
          <w:szCs w:val="24"/>
        </w:rPr>
        <w:t xml:space="preserve">т</w:t>
      </w:r>
      <w:r>
        <w:rPr>
          <w:sz w:val="24"/>
          <w:szCs w:val="24"/>
        </w:rPr>
        <w:t xml:space="preserve">ветствии с постановлением администрации Новооскольского городского округа от 27.06.2019 года № 359 </w:t>
      </w:r>
      <w:r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 xml:space="preserve">«Об организации системы внутреннего обеспечения соответствия требованиям антимонопольного законодательства деятельности администрации Новооскольского городского округа» включая:</w:t>
      </w:r>
      <w:r/>
    </w:p>
    <w:p>
      <w:pPr>
        <w:pStyle w:val="89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представление упол</w:t>
      </w:r>
      <w:r>
        <w:rPr>
          <w:sz w:val="24"/>
          <w:szCs w:val="24"/>
        </w:rPr>
        <w:t xml:space="preserve">номоченному подразделению (должностному лицу), ответственному за функционирование антимонопольного комплаенса в администрации Новооскольского городского округа, сведений о наличии нарушений антимонопольного законодательства, сведений о действующих норматив</w:t>
      </w:r>
      <w:r>
        <w:rPr>
          <w:sz w:val="24"/>
          <w:szCs w:val="24"/>
        </w:rPr>
        <w:t xml:space="preserve">ных правовых актах администрации Новооскольского городского округа, подготовленных управлением образования администрации Новооскольского городского округа, по направлениям деятельности управления образования администрации Новооскольского городского округа;</w:t>
      </w:r>
      <w:r/>
    </w:p>
    <w:p>
      <w:pPr>
        <w:pStyle w:val="89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исполнение плана мероприятий по снижению комплаенс-рисков, достижение ключевых показателей эффективности функционирования антимонопольного комплаенса в администрации Новооскольского городского округа;</w:t>
      </w:r>
      <w:r/>
    </w:p>
    <w:p>
      <w:pPr>
        <w:pStyle w:val="89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участие в подготовке проекта ежегодного доклада об антимонопольном комплаенсе.</w:t>
      </w:r>
      <w:r>
        <w:rPr>
          <w:sz w:val="24"/>
          <w:szCs w:val="24"/>
        </w:rPr>
      </w:r>
      <w:r/>
    </w:p>
    <w:p>
      <w:pPr>
        <w:pStyle w:val="89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N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1. Результативность профессиональной служебной деятельности г</w:t>
      </w:r>
      <w:r>
        <w:rPr>
          <w:rFonts w:eastAsia="Courier New"/>
          <w:color w:val="000000"/>
          <w:sz w:val="24"/>
          <w:szCs w:val="24"/>
          <w:lang w:bidi="ru-RU"/>
        </w:rPr>
        <w:t xml:space="preserve">лавного специалиста по информационной безопасности </w:t>
      </w:r>
      <w:r>
        <w:rPr>
          <w:color w:val="000000"/>
          <w:sz w:val="24"/>
          <w:szCs w:val="24"/>
          <w:lang w:bidi="ru-RU"/>
        </w:rPr>
        <w:t xml:space="preserve">определяется по результатам его профессиональной служебной деятельности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  <w:lang w:bidi="ru-RU"/>
        </w:rPr>
        <w:t xml:space="preserve"> округа.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4. С</w:t>
      </w:r>
      <w:r>
        <w:rPr>
          <w:color w:val="000000"/>
          <w:sz w:val="24"/>
          <w:szCs w:val="24"/>
          <w:lang w:bidi="ru-RU"/>
        </w:rPr>
        <w:t xml:space="preserve">воевременность выполнения работ </w:t>
      </w:r>
      <w:r>
        <w:rPr>
          <w:color w:val="000000"/>
          <w:sz w:val="24"/>
          <w:szCs w:val="24"/>
          <w:lang w:bidi="ru-RU"/>
        </w:rPr>
        <w:t xml:space="preserve">(в том числе в рамках проектной деятельности).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5. Количество нарушений должностной инструкции (в том числе нарушений трудовой дисциплины).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6. Количеств</w:t>
      </w:r>
      <w:r>
        <w:rPr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color w:val="000000"/>
          <w:sz w:val="24"/>
          <w:szCs w:val="24"/>
          <w:lang w:bidi="ru-RU"/>
        </w:rPr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апреля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21 мая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05 </w:t>
      </w:r>
      <w:r>
        <w:rPr>
          <w:b/>
          <w:color w:val="000000"/>
          <w:sz w:val="24"/>
          <w:szCs w:val="24"/>
        </w:rPr>
        <w:t xml:space="preserve">июня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Franklin Gothic Medium">
    <w:panose1 w:val="020B0603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separate"/>
    </w:r>
    <w:r>
      <w:rPr>
        <w:rStyle w:val="896"/>
      </w:rPr>
      <w:t xml:space="preserve">6</w: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separate"/>
    </w:r>
    <w:r>
      <w:rPr>
        <w:rStyle w:val="896"/>
      </w:rPr>
      <w:t xml:space="preserve">3</w: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0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0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0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0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0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0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0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0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0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0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0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0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0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0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0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0"/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  <w:num w:numId="21">
    <w:abstractNumId w:val="17"/>
  </w:num>
  <w:num w:numId="22">
    <w:abstractNumId w:val="18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3">
    <w:name w:val="Heading 1"/>
    <w:link w:val="71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4">
    <w:name w:val="Heading 1 Char"/>
    <w:link w:val="713"/>
    <w:uiPriority w:val="9"/>
    <w:rPr>
      <w:rFonts w:ascii="Arial" w:hAnsi="Arial" w:cs="Arial" w:eastAsia="Arial"/>
      <w:sz w:val="40"/>
      <w:szCs w:val="40"/>
    </w:rPr>
  </w:style>
  <w:style w:type="paragraph" w:styleId="715">
    <w:name w:val="Heading 2"/>
    <w:link w:val="71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6">
    <w:name w:val="Heading 2 Char"/>
    <w:link w:val="715"/>
    <w:uiPriority w:val="9"/>
    <w:rPr>
      <w:rFonts w:ascii="Arial" w:hAnsi="Arial" w:cs="Arial" w:eastAsia="Arial"/>
      <w:sz w:val="34"/>
    </w:rPr>
  </w:style>
  <w:style w:type="paragraph" w:styleId="717">
    <w:name w:val="Heading 3"/>
    <w:link w:val="71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8">
    <w:name w:val="Heading 3 Char"/>
    <w:link w:val="717"/>
    <w:uiPriority w:val="9"/>
    <w:rPr>
      <w:rFonts w:ascii="Arial" w:hAnsi="Arial" w:cs="Arial" w:eastAsia="Arial"/>
      <w:sz w:val="30"/>
      <w:szCs w:val="30"/>
    </w:rPr>
  </w:style>
  <w:style w:type="paragraph" w:styleId="719">
    <w:name w:val="Heading 4"/>
    <w:link w:val="72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0">
    <w:name w:val="Heading 4 Char"/>
    <w:link w:val="719"/>
    <w:uiPriority w:val="9"/>
    <w:rPr>
      <w:rFonts w:ascii="Arial" w:hAnsi="Arial" w:cs="Arial" w:eastAsia="Arial"/>
      <w:b/>
      <w:bCs/>
      <w:sz w:val="26"/>
      <w:szCs w:val="26"/>
    </w:rPr>
  </w:style>
  <w:style w:type="paragraph" w:styleId="721">
    <w:name w:val="Heading 5"/>
    <w:link w:val="72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2">
    <w:name w:val="Heading 5 Char"/>
    <w:link w:val="721"/>
    <w:uiPriority w:val="9"/>
    <w:rPr>
      <w:rFonts w:ascii="Arial" w:hAnsi="Arial" w:cs="Arial" w:eastAsia="Arial"/>
      <w:b/>
      <w:bCs/>
      <w:sz w:val="24"/>
      <w:szCs w:val="24"/>
    </w:rPr>
  </w:style>
  <w:style w:type="paragraph" w:styleId="723">
    <w:name w:val="Heading 6"/>
    <w:link w:val="72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4">
    <w:name w:val="Heading 6 Char"/>
    <w:link w:val="723"/>
    <w:uiPriority w:val="9"/>
    <w:rPr>
      <w:rFonts w:ascii="Arial" w:hAnsi="Arial" w:cs="Arial" w:eastAsia="Arial"/>
      <w:b/>
      <w:bCs/>
      <w:sz w:val="22"/>
      <w:szCs w:val="22"/>
    </w:rPr>
  </w:style>
  <w:style w:type="paragraph" w:styleId="725">
    <w:name w:val="Heading 7"/>
    <w:link w:val="72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6">
    <w:name w:val="Heading 7 Char"/>
    <w:link w:val="72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7">
    <w:name w:val="Heading 8"/>
    <w:link w:val="72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8">
    <w:name w:val="Heading 8 Char"/>
    <w:link w:val="727"/>
    <w:uiPriority w:val="9"/>
    <w:rPr>
      <w:rFonts w:ascii="Arial" w:hAnsi="Arial" w:cs="Arial" w:eastAsia="Arial"/>
      <w:i/>
      <w:iCs/>
      <w:sz w:val="22"/>
      <w:szCs w:val="22"/>
    </w:rPr>
  </w:style>
  <w:style w:type="paragraph" w:styleId="729">
    <w:name w:val="Heading 9"/>
    <w:link w:val="73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0">
    <w:name w:val="Heading 9 Char"/>
    <w:link w:val="729"/>
    <w:uiPriority w:val="9"/>
    <w:rPr>
      <w:rFonts w:ascii="Arial" w:hAnsi="Arial" w:cs="Arial" w:eastAsia="Arial"/>
      <w:i/>
      <w:iCs/>
      <w:sz w:val="21"/>
      <w:szCs w:val="21"/>
    </w:rPr>
  </w:style>
  <w:style w:type="paragraph" w:styleId="731">
    <w:name w:val="List Paragraph"/>
    <w:qFormat/>
    <w:uiPriority w:val="34"/>
    <w:pPr>
      <w:contextualSpacing w:val="true"/>
      <w:ind w:left="720"/>
    </w:pPr>
  </w:style>
  <w:style w:type="paragraph" w:styleId="732">
    <w:name w:val="Title"/>
    <w:link w:val="7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3">
    <w:name w:val="Title Char"/>
    <w:link w:val="732"/>
    <w:uiPriority w:val="10"/>
    <w:rPr>
      <w:sz w:val="48"/>
      <w:szCs w:val="48"/>
    </w:rPr>
  </w:style>
  <w:style w:type="paragraph" w:styleId="734">
    <w:name w:val="Subtitle"/>
    <w:link w:val="735"/>
    <w:qFormat/>
    <w:uiPriority w:val="11"/>
    <w:rPr>
      <w:sz w:val="24"/>
      <w:szCs w:val="24"/>
    </w:rPr>
    <w:pPr>
      <w:spacing w:after="200" w:before="200"/>
    </w:pPr>
  </w:style>
  <w:style w:type="character" w:styleId="735">
    <w:name w:val="Subtitle Char"/>
    <w:link w:val="734"/>
    <w:uiPriority w:val="11"/>
    <w:rPr>
      <w:sz w:val="24"/>
      <w:szCs w:val="24"/>
    </w:rPr>
  </w:style>
  <w:style w:type="paragraph" w:styleId="736">
    <w:name w:val="Quote"/>
    <w:link w:val="737"/>
    <w:qFormat/>
    <w:uiPriority w:val="29"/>
    <w:rPr>
      <w:i/>
    </w:rPr>
    <w:pPr>
      <w:ind w:left="720" w:right="720"/>
    </w:pPr>
  </w:style>
  <w:style w:type="character" w:styleId="737">
    <w:name w:val="Quote Char"/>
    <w:link w:val="736"/>
    <w:uiPriority w:val="29"/>
    <w:rPr>
      <w:i/>
    </w:rPr>
  </w:style>
  <w:style w:type="paragraph" w:styleId="738">
    <w:name w:val="Intense Quote"/>
    <w:link w:val="7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9">
    <w:name w:val="Intense Quote Char"/>
    <w:link w:val="738"/>
    <w:uiPriority w:val="30"/>
    <w:rPr>
      <w:i/>
    </w:rPr>
  </w:style>
  <w:style w:type="paragraph" w:styleId="740">
    <w:name w:val="Head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1">
    <w:name w:val="Header Char"/>
    <w:link w:val="740"/>
    <w:uiPriority w:val="99"/>
  </w:style>
  <w:style w:type="paragraph" w:styleId="742">
    <w:name w:val="Foot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3">
    <w:name w:val="Footer Char"/>
    <w:link w:val="742"/>
    <w:uiPriority w:val="99"/>
  </w:style>
  <w:style w:type="paragraph" w:styleId="74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5">
    <w:name w:val="Caption Char"/>
    <w:basedOn w:val="744"/>
    <w:link w:val="742"/>
    <w:uiPriority w:val="99"/>
  </w:style>
  <w:style w:type="table" w:styleId="74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2">
    <w:name w:val="Hyperlink"/>
    <w:uiPriority w:val="99"/>
    <w:unhideWhenUsed/>
    <w:rPr>
      <w:color w:val="0000FF" w:themeColor="hyperlink"/>
      <w:u w:val="single"/>
    </w:rPr>
  </w:style>
  <w:style w:type="paragraph" w:styleId="873">
    <w:name w:val="footnote text"/>
    <w:link w:val="874"/>
    <w:uiPriority w:val="99"/>
    <w:semiHidden/>
    <w:unhideWhenUsed/>
    <w:rPr>
      <w:sz w:val="18"/>
    </w:rPr>
    <w:pPr>
      <w:spacing w:lineRule="auto" w:line="240" w:after="40"/>
    </w:pPr>
  </w:style>
  <w:style w:type="character" w:styleId="874">
    <w:name w:val="Footnote Text Char"/>
    <w:link w:val="873"/>
    <w:uiPriority w:val="99"/>
    <w:rPr>
      <w:sz w:val="18"/>
    </w:rPr>
  </w:style>
  <w:style w:type="character" w:styleId="875">
    <w:name w:val="footnote reference"/>
    <w:uiPriority w:val="99"/>
    <w:unhideWhenUsed/>
    <w:rPr>
      <w:vertAlign w:val="superscript"/>
    </w:rPr>
  </w:style>
  <w:style w:type="paragraph" w:styleId="876">
    <w:name w:val="endnote text"/>
    <w:link w:val="877"/>
    <w:uiPriority w:val="99"/>
    <w:semiHidden/>
    <w:unhideWhenUsed/>
    <w:rPr>
      <w:sz w:val="20"/>
    </w:rPr>
    <w:pPr>
      <w:spacing w:lineRule="auto" w:line="240" w:after="0"/>
    </w:pPr>
  </w:style>
  <w:style w:type="character" w:styleId="877">
    <w:name w:val="Endnote Text Char"/>
    <w:link w:val="876"/>
    <w:uiPriority w:val="99"/>
    <w:rPr>
      <w:sz w:val="20"/>
    </w:rPr>
  </w:style>
  <w:style w:type="character" w:styleId="878">
    <w:name w:val="endnote reference"/>
    <w:uiPriority w:val="99"/>
    <w:semiHidden/>
    <w:unhideWhenUsed/>
    <w:rPr>
      <w:vertAlign w:val="superscript"/>
    </w:rPr>
  </w:style>
  <w:style w:type="paragraph" w:styleId="879">
    <w:name w:val="toc 1"/>
    <w:uiPriority w:val="39"/>
    <w:unhideWhenUsed/>
    <w:pPr>
      <w:ind w:left="0" w:right="0" w:firstLine="0"/>
      <w:spacing w:after="57"/>
    </w:pPr>
  </w:style>
  <w:style w:type="paragraph" w:styleId="880">
    <w:name w:val="toc 2"/>
    <w:uiPriority w:val="39"/>
    <w:unhideWhenUsed/>
    <w:pPr>
      <w:ind w:left="283" w:right="0" w:firstLine="0"/>
      <w:spacing w:after="57"/>
    </w:pPr>
  </w:style>
  <w:style w:type="paragraph" w:styleId="881">
    <w:name w:val="toc 3"/>
    <w:uiPriority w:val="39"/>
    <w:unhideWhenUsed/>
    <w:pPr>
      <w:ind w:left="567" w:right="0" w:firstLine="0"/>
      <w:spacing w:after="57"/>
    </w:pPr>
  </w:style>
  <w:style w:type="paragraph" w:styleId="882">
    <w:name w:val="toc 4"/>
    <w:uiPriority w:val="39"/>
    <w:unhideWhenUsed/>
    <w:pPr>
      <w:ind w:left="850" w:right="0" w:firstLine="0"/>
      <w:spacing w:after="57"/>
    </w:pPr>
  </w:style>
  <w:style w:type="paragraph" w:styleId="883">
    <w:name w:val="toc 5"/>
    <w:uiPriority w:val="39"/>
    <w:unhideWhenUsed/>
    <w:pPr>
      <w:ind w:left="1134" w:right="0" w:firstLine="0"/>
      <w:spacing w:after="57"/>
    </w:pPr>
  </w:style>
  <w:style w:type="paragraph" w:styleId="884">
    <w:name w:val="toc 6"/>
    <w:uiPriority w:val="39"/>
    <w:unhideWhenUsed/>
    <w:pPr>
      <w:ind w:left="1417" w:right="0" w:firstLine="0"/>
      <w:spacing w:after="57"/>
    </w:pPr>
  </w:style>
  <w:style w:type="paragraph" w:styleId="885">
    <w:name w:val="toc 7"/>
    <w:uiPriority w:val="39"/>
    <w:unhideWhenUsed/>
    <w:pPr>
      <w:ind w:left="1701" w:right="0" w:firstLine="0"/>
      <w:spacing w:after="57"/>
    </w:pPr>
  </w:style>
  <w:style w:type="paragraph" w:styleId="886">
    <w:name w:val="toc 8"/>
    <w:uiPriority w:val="39"/>
    <w:unhideWhenUsed/>
    <w:pPr>
      <w:ind w:left="1984" w:right="0" w:firstLine="0"/>
      <w:spacing w:after="57"/>
    </w:pPr>
  </w:style>
  <w:style w:type="paragraph" w:styleId="887">
    <w:name w:val="toc 9"/>
    <w:uiPriority w:val="39"/>
    <w:unhideWhenUsed/>
    <w:pPr>
      <w:ind w:left="2268" w:right="0" w:firstLine="0"/>
      <w:spacing w:after="57"/>
    </w:pPr>
  </w:style>
  <w:style w:type="paragraph" w:styleId="888">
    <w:name w:val="TOC Heading"/>
    <w:uiPriority w:val="39"/>
    <w:unhideWhenUsed/>
  </w:style>
  <w:style w:type="paragraph" w:styleId="889">
    <w:name w:val="table of figures"/>
    <w:uiPriority w:val="99"/>
    <w:unhideWhenUsed/>
    <w:pPr>
      <w:spacing w:after="0" w:afterAutospacing="0"/>
    </w:pPr>
  </w:style>
  <w:style w:type="paragraph" w:styleId="890">
    <w:name w:val="Обычный"/>
    <w:next w:val="890"/>
    <w:link w:val="890"/>
    <w:rPr>
      <w:lang w:val="ru-RU" w:bidi="ar-SA" w:eastAsia="ru-RU"/>
    </w:rPr>
    <w:pPr>
      <w:widowControl w:val="off"/>
    </w:pPr>
  </w:style>
  <w:style w:type="character" w:styleId="891">
    <w:name w:val="Основной шрифт абзаца"/>
    <w:next w:val="891"/>
    <w:link w:val="890"/>
    <w:semiHidden/>
  </w:style>
  <w:style w:type="table" w:styleId="892">
    <w:name w:val="Обычная таблица"/>
    <w:next w:val="892"/>
    <w:link w:val="890"/>
    <w:semiHidden/>
    <w:tblPr/>
  </w:style>
  <w:style w:type="numbering" w:styleId="893">
    <w:name w:val="Нет списка"/>
    <w:next w:val="893"/>
    <w:link w:val="890"/>
    <w:semiHidden/>
  </w:style>
  <w:style w:type="paragraph" w:styleId="894">
    <w:name w:val="Текст выноски"/>
    <w:basedOn w:val="890"/>
    <w:next w:val="894"/>
    <w:link w:val="890"/>
    <w:semiHidden/>
    <w:rPr>
      <w:rFonts w:ascii="Tahoma" w:hAnsi="Tahoma"/>
      <w:sz w:val="16"/>
      <w:szCs w:val="16"/>
    </w:rPr>
  </w:style>
  <w:style w:type="paragraph" w:styleId="895">
    <w:name w:val="Верхний колонтитул"/>
    <w:basedOn w:val="890"/>
    <w:next w:val="895"/>
    <w:link w:val="906"/>
    <w:pPr>
      <w:tabs>
        <w:tab w:val="center" w:pos="4677" w:leader="none"/>
        <w:tab w:val="right" w:pos="9355" w:leader="none"/>
      </w:tabs>
    </w:pPr>
  </w:style>
  <w:style w:type="character" w:styleId="896">
    <w:name w:val="Номер страницы"/>
    <w:basedOn w:val="891"/>
    <w:next w:val="896"/>
    <w:link w:val="890"/>
  </w:style>
  <w:style w:type="table" w:styleId="897">
    <w:name w:val="Сетка таблицы"/>
    <w:basedOn w:val="892"/>
    <w:next w:val="897"/>
    <w:link w:val="890"/>
    <w:tblPr/>
  </w:style>
  <w:style w:type="paragraph" w:styleId="898">
    <w:name w:val="ConsPlusNormal"/>
    <w:next w:val="898"/>
    <w:link w:val="90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9">
    <w:name w:val="ConsPlusNonformat"/>
    <w:next w:val="899"/>
    <w:link w:val="890"/>
    <w:rPr>
      <w:rFonts w:ascii="Courier New" w:hAnsi="Courier New"/>
      <w:lang w:val="ru-RU" w:bidi="ar-SA" w:eastAsia="ru-RU"/>
    </w:rPr>
    <w:pPr>
      <w:widowControl w:val="off"/>
    </w:pPr>
  </w:style>
  <w:style w:type="character" w:styleId="900">
    <w:name w:val="ConsPlusNormal Знак"/>
    <w:next w:val="900"/>
    <w:link w:val="898"/>
    <w:rPr>
      <w:rFonts w:ascii="Arial" w:hAnsi="Arial"/>
      <w:lang w:val="ru-RU" w:bidi="ar-SA" w:eastAsia="ru-RU"/>
    </w:rPr>
  </w:style>
  <w:style w:type="paragraph" w:styleId="901">
    <w:name w:val="Название"/>
    <w:basedOn w:val="890"/>
    <w:next w:val="901"/>
    <w:link w:val="890"/>
    <w:rPr>
      <w:b/>
      <w:sz w:val="32"/>
    </w:rPr>
    <w:pPr>
      <w:jc w:val="center"/>
      <w:widowControl/>
    </w:pPr>
  </w:style>
  <w:style w:type="paragraph" w:styleId="902">
    <w:name w:val="Основной текст 3"/>
    <w:basedOn w:val="890"/>
    <w:next w:val="902"/>
    <w:link w:val="890"/>
    <w:rPr>
      <w:sz w:val="16"/>
      <w:szCs w:val="16"/>
    </w:rPr>
    <w:pPr>
      <w:spacing w:after="120"/>
      <w:widowControl/>
    </w:pPr>
  </w:style>
  <w:style w:type="character" w:styleId="903">
    <w:name w:val="Гиперссылка"/>
    <w:next w:val="903"/>
    <w:link w:val="890"/>
    <w:rPr>
      <w:color w:val="0000FF"/>
      <w:u w:val="single"/>
    </w:rPr>
  </w:style>
  <w:style w:type="paragraph" w:styleId="904">
    <w:name w:val="Обычный (веб)"/>
    <w:basedOn w:val="890"/>
    <w:next w:val="904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5">
    <w:name w:val="western"/>
    <w:basedOn w:val="890"/>
    <w:next w:val="905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6">
    <w:name w:val="Верхний колонтитул Знак"/>
    <w:next w:val="906"/>
    <w:link w:val="895"/>
    <w:rPr>
      <w:lang w:val="ru-RU" w:bidi="ar-SA" w:eastAsia="ru-RU"/>
    </w:rPr>
  </w:style>
  <w:style w:type="paragraph" w:styleId="907">
    <w:name w:val="Нижний колонтитул"/>
    <w:basedOn w:val="890"/>
    <w:next w:val="907"/>
    <w:link w:val="90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8">
    <w:name w:val="Нижний колонтитул Знак"/>
    <w:next w:val="908"/>
    <w:link w:val="907"/>
    <w:rPr>
      <w:sz w:val="28"/>
      <w:lang w:val="ru-RU" w:bidi="ar-SA" w:eastAsia="ru-RU"/>
    </w:rPr>
  </w:style>
  <w:style w:type="paragraph" w:styleId="909">
    <w:name w:val="Основной текст"/>
    <w:basedOn w:val="890"/>
    <w:next w:val="909"/>
    <w:link w:val="890"/>
    <w:pPr>
      <w:spacing w:after="120"/>
    </w:pPr>
  </w:style>
  <w:style w:type="paragraph" w:styleId="910">
    <w:name w:val="Основной текст с отступом"/>
    <w:basedOn w:val="890"/>
    <w:next w:val="910"/>
    <w:link w:val="890"/>
    <w:pPr>
      <w:ind w:left="283"/>
      <w:spacing w:after="120"/>
    </w:pPr>
  </w:style>
  <w:style w:type="paragraph" w:styleId="911">
    <w:name w:val="Основной текст с отступом 3"/>
    <w:basedOn w:val="890"/>
    <w:next w:val="911"/>
    <w:link w:val="890"/>
    <w:rPr>
      <w:sz w:val="16"/>
      <w:szCs w:val="16"/>
    </w:rPr>
    <w:pPr>
      <w:ind w:left="283"/>
      <w:spacing w:after="120"/>
    </w:pPr>
  </w:style>
  <w:style w:type="paragraph" w:styleId="912">
    <w:name w:val="ConsNonformat"/>
    <w:next w:val="912"/>
    <w:link w:val="89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3">
    <w:name w:val="ConsNormal"/>
    <w:next w:val="913"/>
    <w:link w:val="89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4">
    <w:name w:val="Таблицы (моноширинный)"/>
    <w:basedOn w:val="890"/>
    <w:next w:val="890"/>
    <w:link w:val="890"/>
    <w:rPr>
      <w:rFonts w:ascii="Courier New" w:hAnsi="Courier New"/>
    </w:rPr>
    <w:pPr>
      <w:jc w:val="both"/>
    </w:pPr>
  </w:style>
  <w:style w:type="character" w:styleId="915">
    <w:name w:val="Основной текст2"/>
    <w:next w:val="915"/>
    <w:link w:val="89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6">
    <w:name w:val="Абзац списка2"/>
    <w:basedOn w:val="890"/>
    <w:next w:val="916"/>
    <w:link w:val="890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7">
    <w:name w:val="No Spacing"/>
    <w:next w:val="917"/>
    <w:link w:val="890"/>
    <w:rPr>
      <w:rFonts w:ascii="Calibri" w:hAnsi="Calibri"/>
      <w:sz w:val="22"/>
      <w:szCs w:val="22"/>
      <w:lang w:val="ru-RU" w:bidi="ar-SA" w:eastAsia="ru-RU"/>
    </w:rPr>
  </w:style>
  <w:style w:type="character" w:styleId="918">
    <w:name w:val="Font Style48"/>
    <w:next w:val="918"/>
    <w:link w:val="890"/>
    <w:rPr>
      <w:rFonts w:ascii="Times New Roman" w:hAnsi="Times New Roman"/>
      <w:b/>
      <w:bCs/>
      <w:sz w:val="26"/>
      <w:szCs w:val="26"/>
    </w:rPr>
  </w:style>
  <w:style w:type="character" w:styleId="919">
    <w:name w:val="Font Style49"/>
    <w:next w:val="919"/>
    <w:link w:val="890"/>
    <w:rPr>
      <w:rFonts w:ascii="Times New Roman" w:hAnsi="Times New Roman"/>
      <w:sz w:val="26"/>
      <w:szCs w:val="26"/>
    </w:rPr>
  </w:style>
  <w:style w:type="character" w:styleId="920">
    <w:name w:val="Font Style30"/>
    <w:next w:val="920"/>
    <w:link w:val="890"/>
    <w:rPr>
      <w:rFonts w:ascii="Times New Roman" w:hAnsi="Times New Roman"/>
      <w:sz w:val="22"/>
      <w:szCs w:val="22"/>
    </w:rPr>
  </w:style>
  <w:style w:type="character" w:styleId="921">
    <w:name w:val="Font Style29"/>
    <w:next w:val="921"/>
    <w:link w:val="890"/>
    <w:rPr>
      <w:rFonts w:ascii="Times New Roman" w:hAnsi="Times New Roman"/>
      <w:b/>
      <w:bCs/>
      <w:sz w:val="22"/>
      <w:szCs w:val="22"/>
    </w:rPr>
  </w:style>
  <w:style w:type="paragraph" w:styleId="922">
    <w:name w:val="Абзац списка"/>
    <w:basedOn w:val="890"/>
    <w:next w:val="922"/>
    <w:link w:val="923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23">
    <w:name w:val="Абзац списка Знак"/>
    <w:next w:val="923"/>
    <w:link w:val="922"/>
    <w:rPr>
      <w:sz w:val="24"/>
      <w:szCs w:val="22"/>
      <w:lang w:val="en-US" w:bidi="en-US" w:eastAsia="en-US"/>
    </w:rPr>
  </w:style>
  <w:style w:type="character" w:styleId="924" w:default="1">
    <w:name w:val="Default Paragraph Font"/>
    <w:uiPriority w:val="1"/>
    <w:semiHidden/>
    <w:unhideWhenUsed/>
  </w:style>
  <w:style w:type="numbering" w:styleId="925" w:default="1">
    <w:name w:val="No List"/>
    <w:uiPriority w:val="99"/>
    <w:semiHidden/>
    <w:unhideWhenUsed/>
  </w:style>
  <w:style w:type="paragraph" w:styleId="926" w:default="1">
    <w:name w:val="Normal"/>
    <w:qFormat/>
  </w:style>
  <w:style w:type="table" w:styleId="92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22</cp:revision>
  <dcterms:modified xsi:type="dcterms:W3CDTF">2025-04-29T09:06:15Z</dcterms:modified>
</cp:coreProperties>
</file>