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2025-04-29T10:21:26Z</dcterms:modified>
</cp:coreProperties>
</file>