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94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894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Информационное сообщение  о проведении </w:t>
      </w:r>
      <w:r>
        <w:rPr>
          <w:b/>
          <w:sz w:val="28"/>
          <w:szCs w:val="28"/>
        </w:rPr>
        <w:t xml:space="preserve">повторного конкурса</w:t>
      </w:r>
      <w:r>
        <w:rPr>
          <w:b/>
          <w:sz w:val="28"/>
          <w:szCs w:val="28"/>
        </w:rPr>
      </w:r>
      <w:r/>
    </w:p>
    <w:p>
      <w:pPr>
        <w:pStyle w:val="894"/>
        <w:ind w:firstLine="7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894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Администрация </w:t>
      </w:r>
      <w:r>
        <w:rPr>
          <w:sz w:val="24"/>
          <w:szCs w:val="24"/>
        </w:rPr>
        <w:t xml:space="preserve">Новооскольского муниципального округа</w:t>
      </w:r>
      <w:r>
        <w:rPr>
          <w:sz w:val="24"/>
        </w:rPr>
        <w:t xml:space="preserve"> </w:t>
      </w:r>
      <w:r>
        <w:rPr>
          <w:sz w:val="24"/>
          <w:szCs w:val="24"/>
        </w:rPr>
        <w:t xml:space="preserve">объявляет о проведении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повторного конкурс</w:t>
      </w:r>
      <w:r>
        <w:rPr>
          <w:sz w:val="24"/>
          <w:szCs w:val="24"/>
        </w:rPr>
        <w:t xml:space="preserve">а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на замещение вакант</w:t>
      </w:r>
      <w:r>
        <w:rPr>
          <w:sz w:val="24"/>
          <w:szCs w:val="24"/>
        </w:rPr>
        <w:t xml:space="preserve">н</w:t>
      </w:r>
      <w:r>
        <w:rPr>
          <w:sz w:val="24"/>
          <w:szCs w:val="24"/>
        </w:rPr>
        <w:t xml:space="preserve">ой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должност</w:t>
      </w:r>
      <w:r>
        <w:rPr>
          <w:sz w:val="24"/>
          <w:szCs w:val="24"/>
        </w:rPr>
        <w:t xml:space="preserve">и </w:t>
      </w:r>
      <w:r>
        <w:rPr>
          <w:sz w:val="24"/>
          <w:szCs w:val="24"/>
        </w:rPr>
        <w:t xml:space="preserve">муниципальной службы</w:t>
      </w:r>
      <w:r>
        <w:rPr>
          <w:sz w:val="24"/>
          <w:szCs w:val="24"/>
        </w:rPr>
        <w:t xml:space="preserve"> -</w:t>
      </w:r>
      <w:r>
        <w:rPr>
          <w:sz w:val="24"/>
          <w:szCs w:val="28"/>
        </w:rPr>
        <w:t xml:space="preserve"> главн</w:t>
      </w:r>
      <w:r>
        <w:rPr>
          <w:sz w:val="24"/>
          <w:szCs w:val="28"/>
        </w:rPr>
        <w:t xml:space="preserve">ого</w:t>
      </w:r>
      <w:r>
        <w:rPr>
          <w:sz w:val="24"/>
          <w:szCs w:val="28"/>
        </w:rPr>
        <w:t xml:space="preserve"> специалист</w:t>
      </w:r>
      <w:r>
        <w:rPr>
          <w:sz w:val="24"/>
          <w:szCs w:val="28"/>
        </w:rPr>
        <w:t xml:space="preserve">а</w:t>
      </w:r>
      <w:r>
        <w:rPr>
          <w:sz w:val="24"/>
          <w:szCs w:val="28"/>
        </w:rPr>
        <w:t xml:space="preserve"> отдела </w:t>
      </w:r>
      <w:r>
        <w:rPr>
          <w:sz w:val="24"/>
          <w:szCs w:val="28"/>
        </w:rPr>
        <w:t xml:space="preserve">организации предоставления ежемесячной денежной компенсации и субсидии на оплату жилищно-коммунальных услуг</w:t>
      </w:r>
      <w:r>
        <w:rPr>
          <w:sz w:val="24"/>
          <w:szCs w:val="28"/>
        </w:rPr>
        <w:t xml:space="preserve"> </w:t>
      </w:r>
      <w:r>
        <w:rPr>
          <w:sz w:val="24"/>
          <w:szCs w:val="28"/>
        </w:rPr>
        <w:t xml:space="preserve">управления </w:t>
      </w:r>
      <w:r>
        <w:rPr>
          <w:sz w:val="24"/>
          <w:szCs w:val="28"/>
        </w:rPr>
        <w:t xml:space="preserve">социальной защиты населения </w:t>
      </w:r>
      <w:r>
        <w:rPr>
          <w:sz w:val="24"/>
          <w:szCs w:val="28"/>
        </w:rPr>
        <w:t xml:space="preserve">адми</w:t>
      </w:r>
      <w:r>
        <w:rPr>
          <w:sz w:val="24"/>
          <w:szCs w:val="28"/>
        </w:rPr>
        <w:t xml:space="preserve">нистрации </w:t>
      </w:r>
      <w:r>
        <w:rPr>
          <w:sz w:val="24"/>
          <w:szCs w:val="28"/>
        </w:rPr>
        <w:t xml:space="preserve">Новооскольского  муниципального округа</w:t>
      </w:r>
      <w:r>
        <w:rPr>
          <w:sz w:val="24"/>
          <w:szCs w:val="28"/>
        </w:rPr>
        <w:t xml:space="preserve">.</w:t>
      </w:r>
      <w:r/>
    </w:p>
    <w:p>
      <w:pPr>
        <w:pStyle w:val="903"/>
        <w:ind w:firstLine="720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Гражданином на конкурс представляются следующие документы:</w:t>
      </w:r>
      <w:r>
        <w:rPr>
          <w:rFonts w:ascii="Times New Roman" w:hAnsi="Times New Roman"/>
        </w:rPr>
      </w:r>
      <w:r/>
    </w:p>
    <w:p>
      <w:pPr>
        <w:pStyle w:val="894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а) личное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\l "Par472"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заявление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на имя представителя нанимателя;</w:t>
      </w:r>
      <w:r/>
    </w:p>
    <w:p>
      <w:pPr>
        <w:pStyle w:val="894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б) заполненную и подписанную анкету по форме, утвержденной Правительством Российской Федерации, с фотографией;</w:t>
      </w:r>
      <w:r/>
    </w:p>
    <w:p>
      <w:pPr>
        <w:pStyle w:val="894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в) копию паспорта или заменяющего его документа (соответствующий документ предъявляется лично по прибытии на конкурс);</w:t>
      </w:r>
      <w:r/>
    </w:p>
    <w:p>
      <w:pPr>
        <w:pStyle w:val="894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г) документы, подтверждающие необходимое профессиональное образование, квалификацию и стаж работы:</w:t>
      </w:r>
      <w:r/>
    </w:p>
    <w:p>
      <w:pPr>
        <w:pStyle w:val="894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копию </w:t>
      </w:r>
      <w:r>
        <w:rPr>
          <w:sz w:val="24"/>
          <w:szCs w:val="24"/>
        </w:rPr>
        <w:t xml:space="preserve">трудовой книжки (за исключением случаев, когда служебная (трудовая) деятельность осуществляется впервые), заверенную нотариально или кадровой службой по месту работы (службы), или иные документы, подтверждающие трудовую (служебную) деятельность гражданина;</w:t>
      </w:r>
      <w:r/>
    </w:p>
    <w:p>
      <w:pPr>
        <w:pStyle w:val="894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копии документов об образовании и о квалификации, а также по желанию гражданина ко</w:t>
      </w:r>
      <w:r>
        <w:rPr>
          <w:sz w:val="24"/>
          <w:szCs w:val="24"/>
        </w:rPr>
        <w:t xml:space="preserve">пии документов, подтверждающих повышение или присвоение квалификации по результатам дополнительного профессионального образования, документов о присвоении ученой степени, ученого звания, заверенные нотариально или кадровой службой по месту работы (службы).</w:t>
      </w:r>
      <w:r/>
    </w:p>
    <w:p>
      <w:pPr>
        <w:pStyle w:val="894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д) документ об отсутствии у гражданина заболевания, препятствующего поступлению на муниципальную службу или ее прохождению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"consultantplus://offline/ref=BE49117E02F2DB2780BEECBE891B31FA80BE595668FD8845684E6243C3C272A3EB1AE21FF86455Z5T4I"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(форма 001-ГС/у)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;</w:t>
      </w:r>
      <w:r/>
    </w:p>
    <w:p>
      <w:pPr>
        <w:pStyle w:val="894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е) сведения об адресах сайтов и (или) страниц сайтов в информационно-телекоммуникационной сети Интернет, на которых гражданин, претендующий на замещение должности муниципальной службы, размещал общедоступ</w:t>
      </w:r>
      <w:r>
        <w:rPr>
          <w:sz w:val="24"/>
          <w:szCs w:val="24"/>
        </w:rPr>
        <w:t xml:space="preserve">ную  информацию, а также данные, позволяющие его идентифицировать, по форме, утвержденной распоряжением  Правительства Российской Федерации от 28 декабря 2016 года № 2867-р, за  три календарных года, предшествующих году поступления на муниципальную службу;</w:t>
      </w:r>
      <w:r/>
    </w:p>
    <w:p>
      <w:pPr>
        <w:pStyle w:val="894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ж) иные документы, предусмотренные Федеральным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"consultantplus://offline/ref=BE49117E02F2DB2780BEECBE891B31FA88BF5C5460F6D54F60176E41C4CD2DB4EC53EE1EF8665055Z8TCI"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законом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от 02 марта 2007 года </w:t>
      </w:r>
      <w:r>
        <w:rPr>
          <w:sz w:val="24"/>
          <w:szCs w:val="24"/>
        </w:rPr>
        <w:t xml:space="preserve">                   </w:t>
      </w:r>
      <w:r>
        <w:rPr>
          <w:sz w:val="24"/>
          <w:szCs w:val="24"/>
        </w:rPr>
        <w:t xml:space="preserve">№ 25-ФЗ «О муниципальной службе в Российской Федерации», другими федеральными законами, указами Президента Российской Федерации и постановлениями Правительства Российской Федерации.</w:t>
      </w:r>
      <w:r/>
    </w:p>
    <w:p>
      <w:pPr>
        <w:pStyle w:val="90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Муниципальный служащий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управления социальной защиты населения </w:t>
      </w:r>
      <w:r>
        <w:rPr>
          <w:rFonts w:ascii="Times New Roman" w:hAnsi="Times New Roman"/>
          <w:sz w:val="24"/>
          <w:szCs w:val="24"/>
        </w:rPr>
        <w:t xml:space="preserve">администрации </w:t>
      </w:r>
      <w:r>
        <w:rPr>
          <w:rFonts w:ascii="Times New Roman" w:hAnsi="Times New Roman"/>
          <w:color w:val="000000"/>
          <w:sz w:val="24"/>
          <w:szCs w:val="24"/>
        </w:rPr>
        <w:t xml:space="preserve">Новооскольского муниципального округа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  желание  участвовать  в  конкурсе,  подает  заявление  на  имя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представителя нанимателя.</w:t>
      </w:r>
      <w:r/>
    </w:p>
    <w:p>
      <w:pPr>
        <w:pStyle w:val="90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 xml:space="preserve">        Муниципальный</w:t>
      </w:r>
      <w:r>
        <w:rPr>
          <w:rFonts w:ascii="Times New Roman" w:hAnsi="Times New Roman"/>
          <w:sz w:val="24"/>
          <w:szCs w:val="24"/>
        </w:rPr>
        <w:t xml:space="preserve">  служащий  иного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желание участвовать в конкурсе, представляет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управление социальной защиты населения </w:t>
      </w:r>
      <w:r>
        <w:rPr>
          <w:rFonts w:ascii="Times New Roman" w:hAnsi="Times New Roman"/>
          <w:sz w:val="24"/>
          <w:szCs w:val="24"/>
        </w:rPr>
        <w:t xml:space="preserve">администраци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Новооскольского муниципального округа</w:t>
      </w:r>
      <w:r>
        <w:rPr>
          <w:rFonts w:ascii="Times New Roman" w:hAnsi="Times New Roman"/>
          <w:sz w:val="24"/>
          <w:szCs w:val="24"/>
        </w:rPr>
        <w:t xml:space="preserve">, заявление на имя представителя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нанимателя и заполненную, подписанную и заверенную кадровой</w:t>
      </w:r>
      <w:r>
        <w:rPr>
          <w:rFonts w:ascii="Times New Roman" w:hAnsi="Times New Roman"/>
          <w:sz w:val="24"/>
          <w:szCs w:val="24"/>
        </w:rPr>
        <w:t xml:space="preserve"> службой</w:t>
      </w:r>
      <w:r>
        <w:rPr>
          <w:rFonts w:ascii="Times New Roman" w:hAnsi="Times New Roman"/>
          <w:sz w:val="24"/>
          <w:szCs w:val="24"/>
        </w:rPr>
        <w:t xml:space="preserve">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котором  </w:t>
      </w:r>
      <w:r>
        <w:rPr>
          <w:rFonts w:ascii="Times New Roman" w:hAnsi="Times New Roman"/>
          <w:sz w:val="24"/>
          <w:szCs w:val="24"/>
        </w:rPr>
        <w:t xml:space="preserve">муниципальный  служащий  замещает  </w:t>
      </w:r>
      <w:r>
        <w:rPr>
          <w:rFonts w:ascii="Times New Roman" w:hAnsi="Times New Roman"/>
          <w:sz w:val="24"/>
          <w:szCs w:val="24"/>
        </w:rPr>
        <w:t xml:space="preserve">должность  </w:t>
      </w:r>
      <w:r>
        <w:rPr>
          <w:rFonts w:ascii="Times New Roman" w:hAnsi="Times New Roman"/>
          <w:sz w:val="24"/>
          <w:szCs w:val="24"/>
        </w:rPr>
        <w:t xml:space="preserve">муниципальной </w:t>
      </w:r>
      <w:r>
        <w:rPr>
          <w:rFonts w:ascii="Times New Roman" w:hAnsi="Times New Roman"/>
          <w:sz w:val="24"/>
          <w:szCs w:val="24"/>
        </w:rPr>
        <w:t xml:space="preserve"> службы, </w:t>
      </w:r>
      <w:r>
        <w:rPr>
          <w:rFonts w:ascii="Times New Roman" w:hAnsi="Times New Roman"/>
          <w:sz w:val="24"/>
          <w:szCs w:val="24"/>
        </w:rPr>
        <w:t xml:space="preserve">анкету </w:t>
      </w:r>
      <w:r>
        <w:rPr>
          <w:rFonts w:ascii="Times New Roman" w:hAnsi="Times New Roman"/>
          <w:sz w:val="24"/>
          <w:szCs w:val="24"/>
        </w:rPr>
        <w:t xml:space="preserve">по форме, утвержденной Правительством Российской Федерации, </w:t>
      </w:r>
      <w:r>
        <w:rPr>
          <w:rFonts w:ascii="Times New Roman" w:hAnsi="Times New Roman"/>
          <w:sz w:val="24"/>
          <w:szCs w:val="24"/>
        </w:rPr>
        <w:t xml:space="preserve">с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фотографи</w:t>
      </w:r>
      <w:r>
        <w:rPr>
          <w:rFonts w:ascii="Times New Roman" w:hAnsi="Times New Roman"/>
          <w:sz w:val="24"/>
          <w:szCs w:val="24"/>
        </w:rPr>
        <w:t xml:space="preserve">ей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4"/>
        <w:tabs>
          <w:tab w:val="left" w:pos="6615" w:leader="none"/>
        </w:tabs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</w:r>
      <w:r/>
    </w:p>
    <w:p>
      <w:pPr>
        <w:pStyle w:val="894"/>
        <w:jc w:val="center"/>
        <w:rPr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 xml:space="preserve">Квалификационные требования к образованию и стажу (опыту) работы по специальности</w:t>
      </w:r>
      <w:r>
        <w:rPr>
          <w:color w:val="000000"/>
          <w:sz w:val="24"/>
          <w:szCs w:val="24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0"/>
        <w:gridCol w:w="2809"/>
        <w:gridCol w:w="6378"/>
      </w:tblGrid>
      <w:tr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pStyle w:val="894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b/>
                <w:color w:val="000000"/>
                <w:sz w:val="24"/>
                <w:szCs w:val="24"/>
              </w:rPr>
            </w:r>
            <w:r/>
          </w:p>
        </w:tc>
        <w:tc>
          <w:tcPr>
            <w:tcW w:w="2809" w:type="dxa"/>
            <w:vAlign w:val="center"/>
            <w:textDirection w:val="lrTb"/>
            <w:noWrap w:val="false"/>
          </w:tcPr>
          <w:p>
            <w:pPr>
              <w:pStyle w:val="894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</w:t>
            </w:r>
            <w:r/>
          </w:p>
          <w:p>
            <w:pPr>
              <w:pStyle w:val="89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378" w:type="dxa"/>
            <w:vAlign w:val="center"/>
            <w:textDirection w:val="lrTb"/>
            <w:noWrap w:val="false"/>
          </w:tcPr>
          <w:p>
            <w:pPr>
              <w:pStyle w:val="89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Требования к образованию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и </w:t>
            </w:r>
            <w:r>
              <w:rPr>
                <w:color w:val="000000"/>
                <w:sz w:val="24"/>
                <w:szCs w:val="24"/>
              </w:rPr>
            </w:r>
            <w:r/>
          </w:p>
          <w:p>
            <w:pPr>
              <w:pStyle w:val="89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к стажу (опыту) работы по специальности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324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9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809" w:type="dxa"/>
            <w:vAlign w:val="top"/>
            <w:textDirection w:val="lrTb"/>
            <w:noWrap w:val="false"/>
          </w:tcPr>
          <w:p>
            <w:pPr>
              <w:pStyle w:val="894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</w:t>
            </w:r>
            <w:r>
              <w:rPr>
                <w:color w:val="000000"/>
                <w:sz w:val="24"/>
                <w:szCs w:val="24"/>
              </w:rPr>
              <w:t xml:space="preserve">лавн</w:t>
            </w:r>
            <w:r>
              <w:rPr>
                <w:color w:val="000000"/>
                <w:sz w:val="24"/>
                <w:szCs w:val="24"/>
              </w:rPr>
              <w:t xml:space="preserve">ый</w:t>
            </w:r>
            <w:r>
              <w:rPr>
                <w:color w:val="000000"/>
                <w:sz w:val="24"/>
                <w:szCs w:val="24"/>
              </w:rPr>
              <w:t xml:space="preserve"> специалист </w:t>
            </w:r>
            <w:r>
              <w:rPr>
                <w:sz w:val="24"/>
                <w:szCs w:val="28"/>
              </w:rPr>
              <w:t xml:space="preserve">отдела </w:t>
            </w:r>
            <w:r>
              <w:rPr>
                <w:sz w:val="24"/>
                <w:szCs w:val="28"/>
              </w:rPr>
              <w:t xml:space="preserve">организации предоставления ежемесячной денежной компенсации и субсидии на оплату жилищно-коммунальных услуг</w:t>
            </w:r>
            <w:r>
              <w:rPr>
                <w:sz w:val="24"/>
                <w:szCs w:val="28"/>
              </w:rPr>
              <w:t xml:space="preserve"> </w:t>
            </w:r>
            <w:r>
              <w:rPr>
                <w:sz w:val="24"/>
                <w:szCs w:val="28"/>
              </w:rPr>
              <w:t xml:space="preserve">управления </w:t>
            </w:r>
            <w:r>
              <w:rPr>
                <w:sz w:val="24"/>
                <w:szCs w:val="28"/>
              </w:rPr>
              <w:t xml:space="preserve">социальной защиты населения </w:t>
            </w:r>
            <w:r>
              <w:rPr>
                <w:sz w:val="24"/>
                <w:szCs w:val="28"/>
              </w:rPr>
              <w:t xml:space="preserve">адми</w:t>
            </w:r>
            <w:r>
              <w:rPr>
                <w:sz w:val="24"/>
                <w:szCs w:val="28"/>
              </w:rPr>
              <w:t xml:space="preserve">нистрации </w:t>
            </w:r>
            <w:r>
              <w:rPr>
                <w:sz w:val="24"/>
                <w:szCs w:val="28"/>
              </w:rPr>
              <w:t xml:space="preserve">Новооскольского муниципального округа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378" w:type="dxa"/>
            <w:vAlign w:val="top"/>
            <w:textDirection w:val="lrTb"/>
            <w:noWrap w:val="false"/>
          </w:tcPr>
          <w:p>
            <w:pPr>
              <w:pStyle w:val="89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</w:t>
            </w:r>
            <w:r>
              <w:rPr>
                <w:sz w:val="24"/>
                <w:szCs w:val="24"/>
              </w:rPr>
              <w:t xml:space="preserve">Наличие высшего образования без предъявления требований к стажу муниципальной службы или работы по специальности, направлению подготовки;</w:t>
            </w:r>
            <w:r/>
          </w:p>
          <w:p>
            <w:pPr>
              <w:pStyle w:val="894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>
              <w:rPr>
                <w:sz w:val="24"/>
                <w:szCs w:val="24"/>
              </w:rPr>
              <w:t xml:space="preserve">     Квалификационные требования к знаниям и умениям, которые необходимы для исполнения должностных обязанностей, устанавливаются в зависимости от области и вида профессиональной служебной деятельности муниципального служащего его должностной  инструкцией.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</w:tbl>
    <w:p>
      <w:pPr>
        <w:pStyle w:val="894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894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Квалификационные требования</w:t>
      </w:r>
      <w:r/>
    </w:p>
    <w:p>
      <w:pPr>
        <w:pStyle w:val="894"/>
        <w:jc w:val="center"/>
        <w:rPr>
          <w:b/>
          <w:bCs/>
          <w:color w:val="000000"/>
          <w:sz w:val="24"/>
          <w:szCs w:val="24"/>
        </w:rPr>
      </w:pPr>
      <w:r>
        <w:rPr>
          <w:b/>
          <w:sz w:val="24"/>
          <w:szCs w:val="24"/>
        </w:rPr>
        <w:t xml:space="preserve">к профессиональным знаниям и навыкам, необходимым для исполнения должностных обязанностей муниципальными служащими  </w:t>
      </w:r>
      <w:r>
        <w:rPr>
          <w:b/>
          <w:bCs/>
          <w:color w:val="000000"/>
          <w:sz w:val="24"/>
          <w:szCs w:val="24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0"/>
        <w:gridCol w:w="2807"/>
        <w:gridCol w:w="6380"/>
      </w:tblGrid>
      <w:tr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pStyle w:val="894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807" w:type="dxa"/>
            <w:vAlign w:val="center"/>
            <w:textDirection w:val="lrTb"/>
            <w:noWrap w:val="false"/>
          </w:tcPr>
          <w:p>
            <w:pPr>
              <w:pStyle w:val="89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 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380" w:type="dxa"/>
            <w:vAlign w:val="center"/>
            <w:textDirection w:val="lrTb"/>
            <w:noWrap w:val="false"/>
          </w:tcPr>
          <w:p>
            <w:pPr>
              <w:pStyle w:val="894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Требованиями к общим профессиональным знаниям и навыкам  (компетенциям)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5418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9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807" w:type="dxa"/>
            <w:vAlign w:val="top"/>
            <w:textDirection w:val="lrTb"/>
            <w:noWrap w:val="false"/>
          </w:tcPr>
          <w:p>
            <w:pPr>
              <w:pStyle w:val="89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</w:t>
            </w:r>
            <w:r>
              <w:rPr>
                <w:color w:val="000000"/>
                <w:sz w:val="24"/>
                <w:szCs w:val="24"/>
              </w:rPr>
              <w:t xml:space="preserve">лавн</w:t>
            </w:r>
            <w:r>
              <w:rPr>
                <w:color w:val="000000"/>
                <w:sz w:val="24"/>
                <w:szCs w:val="24"/>
              </w:rPr>
              <w:t xml:space="preserve">ый</w:t>
            </w:r>
            <w:r>
              <w:rPr>
                <w:color w:val="000000"/>
                <w:sz w:val="24"/>
                <w:szCs w:val="24"/>
              </w:rPr>
              <w:t xml:space="preserve"> специалист </w:t>
            </w:r>
            <w:r>
              <w:rPr>
                <w:sz w:val="24"/>
                <w:szCs w:val="28"/>
              </w:rPr>
              <w:t xml:space="preserve">отдела </w:t>
            </w:r>
            <w:r>
              <w:rPr>
                <w:sz w:val="24"/>
                <w:szCs w:val="28"/>
              </w:rPr>
              <w:t xml:space="preserve">организации предоставления ежемесячной денежной компенсации и субсидии на оплату жилищно-коммунальных услуг</w:t>
            </w:r>
            <w:r>
              <w:rPr>
                <w:sz w:val="24"/>
                <w:szCs w:val="28"/>
              </w:rPr>
              <w:t xml:space="preserve"> </w:t>
            </w:r>
            <w:r>
              <w:rPr>
                <w:sz w:val="24"/>
                <w:szCs w:val="28"/>
              </w:rPr>
              <w:t xml:space="preserve">управления </w:t>
            </w:r>
            <w:r>
              <w:rPr>
                <w:sz w:val="24"/>
                <w:szCs w:val="28"/>
              </w:rPr>
              <w:t xml:space="preserve">социальной защиты населения </w:t>
            </w:r>
            <w:r>
              <w:rPr>
                <w:sz w:val="24"/>
                <w:szCs w:val="28"/>
              </w:rPr>
              <w:t xml:space="preserve">адми</w:t>
            </w:r>
            <w:r>
              <w:rPr>
                <w:sz w:val="24"/>
                <w:szCs w:val="28"/>
              </w:rPr>
              <w:t xml:space="preserve">нистрации </w:t>
            </w:r>
            <w:r>
              <w:rPr>
                <w:sz w:val="24"/>
                <w:szCs w:val="28"/>
              </w:rPr>
              <w:t xml:space="preserve">Новооскольского муниципального округа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380" w:type="dxa"/>
            <w:vAlign w:val="top"/>
            <w:textDirection w:val="lrTb"/>
            <w:noWrap w:val="false"/>
          </w:tcPr>
          <w:p>
            <w:pPr>
              <w:pStyle w:val="894"/>
              <w:ind w:left="34" w:firstLine="28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знание Конституции Российской Федерации, Устава Белгородской области, Устава </w:t>
            </w:r>
            <w:r>
              <w:rPr>
                <w:sz w:val="24"/>
                <w:szCs w:val="24"/>
              </w:rPr>
              <w:t xml:space="preserve">Новооскольского муниципального округа</w:t>
            </w:r>
            <w:r>
              <w:rPr>
                <w:sz w:val="24"/>
                <w:szCs w:val="24"/>
              </w:rPr>
              <w:t xml:space="preserve">, основ федерального и областного законодательства о муниципальной службе;</w:t>
            </w:r>
            <w:r/>
          </w:p>
          <w:p>
            <w:pPr>
              <w:pStyle w:val="894"/>
              <w:ind w:left="34" w:firstLine="28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знания в области информационно </w:t>
            </w:r>
            <w:r>
              <w:rPr>
                <w:sz w:val="24"/>
                <w:szCs w:val="24"/>
              </w:rPr>
              <w:t xml:space="preserve">- коммуникационных технологий (</w:t>
            </w:r>
            <w:r>
              <w:rPr>
                <w:sz w:val="24"/>
                <w:szCs w:val="24"/>
              </w:rPr>
              <w:t xml:space="preserve">далее – ИКТ): аппаратного и программного обеспечения, возможностей и особенностей применения современных ИКТ в органах местного самоуправления </w:t>
            </w:r>
            <w:r>
              <w:rPr>
                <w:sz w:val="24"/>
                <w:szCs w:val="24"/>
              </w:rPr>
              <w:t xml:space="preserve">округа</w:t>
            </w:r>
            <w:r>
              <w:rPr>
                <w:sz w:val="24"/>
                <w:szCs w:val="24"/>
              </w:rPr>
              <w:t xml:space="preserve">, включая использование возможностей межведомственного  документооборота, общих вопросов в области  обеспечения информационной безопасности;</w:t>
            </w:r>
            <w:r/>
          </w:p>
          <w:p>
            <w:pPr>
              <w:pStyle w:val="894"/>
              <w:ind w:left="34" w:firstLine="28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-навыки владения современными средствами, методами и технологией работы с  информацией (работы  с внутренними  и пери</w:t>
            </w:r>
            <w:r>
              <w:rPr>
                <w:sz w:val="24"/>
                <w:szCs w:val="24"/>
              </w:rPr>
              <w:t xml:space="preserve">ферийными  устройствами  компьютера, работы в операционной системе, управления электронной почтой, работы в текстовом редакторе, работы  с электронными таблицами и базами данных, с информационно – телекоммуникационными  сетями, в том числе сетью Интернет);</w:t>
            </w:r>
            <w:r/>
          </w:p>
          <w:p>
            <w:pPr>
              <w:pStyle w:val="921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способность логически верно, аргументированно и ясно строить устную и письменную речь; грамотное написание текста на русском языке.</w:t>
            </w:r>
            <w:r>
              <w:rPr>
                <w:sz w:val="24"/>
                <w:szCs w:val="24"/>
              </w:rPr>
            </w:r>
            <w:r/>
          </w:p>
        </w:tc>
      </w:tr>
      <w:tr>
        <w:trPr>
          <w:trHeight w:val="1231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9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807" w:type="dxa"/>
            <w:vAlign w:val="top"/>
            <w:textDirection w:val="lrTb"/>
            <w:noWrap w:val="false"/>
          </w:tcPr>
          <w:p>
            <w:pPr>
              <w:pStyle w:val="89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380" w:type="dxa"/>
            <w:vAlign w:val="top"/>
            <w:textDirection w:val="lrTb"/>
            <w:noWrap w:val="false"/>
          </w:tcPr>
          <w:p>
            <w:pPr>
              <w:pStyle w:val="894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Требованиями к специальным профессиональным знаниям и навыкам (компетенциям), предъявляемыми к муниципальным служащим, замещающим должности муниципальной  службы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1231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9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807" w:type="dxa"/>
            <w:vAlign w:val="top"/>
            <w:textDirection w:val="lrTb"/>
            <w:noWrap w:val="false"/>
          </w:tcPr>
          <w:p>
            <w:pPr>
              <w:pStyle w:val="89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</w:t>
            </w:r>
            <w:r>
              <w:rPr>
                <w:color w:val="000000"/>
                <w:sz w:val="24"/>
                <w:szCs w:val="24"/>
              </w:rPr>
              <w:t xml:space="preserve">лавн</w:t>
            </w:r>
            <w:r>
              <w:rPr>
                <w:color w:val="000000"/>
                <w:sz w:val="24"/>
                <w:szCs w:val="24"/>
              </w:rPr>
              <w:t xml:space="preserve">ый</w:t>
            </w:r>
            <w:r>
              <w:rPr>
                <w:color w:val="000000"/>
                <w:sz w:val="24"/>
                <w:szCs w:val="24"/>
              </w:rPr>
              <w:t xml:space="preserve"> специалист </w:t>
            </w:r>
            <w:r>
              <w:rPr>
                <w:sz w:val="24"/>
                <w:szCs w:val="28"/>
              </w:rPr>
              <w:t xml:space="preserve">отдела </w:t>
            </w:r>
            <w:r>
              <w:rPr>
                <w:sz w:val="24"/>
                <w:szCs w:val="28"/>
              </w:rPr>
              <w:t xml:space="preserve">организации предоставления ежемесячной денежной компенсации и субсидии на оплату жилищно-коммунальных услуг</w:t>
            </w:r>
            <w:r>
              <w:rPr>
                <w:sz w:val="24"/>
                <w:szCs w:val="28"/>
              </w:rPr>
              <w:t xml:space="preserve"> </w:t>
            </w:r>
            <w:r>
              <w:rPr>
                <w:sz w:val="24"/>
                <w:szCs w:val="28"/>
              </w:rPr>
              <w:t xml:space="preserve">управления </w:t>
            </w:r>
            <w:r>
              <w:rPr>
                <w:sz w:val="24"/>
                <w:szCs w:val="28"/>
              </w:rPr>
              <w:t xml:space="preserve">социальной защиты населения </w:t>
            </w:r>
            <w:r>
              <w:rPr>
                <w:sz w:val="24"/>
                <w:szCs w:val="28"/>
              </w:rPr>
              <w:t xml:space="preserve">адми</w:t>
            </w:r>
            <w:r>
              <w:rPr>
                <w:sz w:val="24"/>
                <w:szCs w:val="28"/>
              </w:rPr>
              <w:t xml:space="preserve">нистрации </w:t>
            </w:r>
            <w:r>
              <w:rPr>
                <w:sz w:val="24"/>
                <w:szCs w:val="28"/>
              </w:rPr>
              <w:t xml:space="preserve">Новооскольского муниципального округа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380" w:type="dxa"/>
            <w:vAlign w:val="top"/>
            <w:textDirection w:val="lrTb"/>
            <w:noWrap w:val="false"/>
          </w:tcPr>
          <w:p>
            <w:pPr>
              <w:pStyle w:val="92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– Гражданский кодекс Российской Федерации;</w:t>
            </w:r>
            <w:r>
              <w:rPr>
                <w:rFonts w:ascii="Times New Roman" w:hAnsi="Times New Roman"/>
                <w:sz w:val="24"/>
              </w:rPr>
            </w:r>
            <w:r/>
          </w:p>
          <w:p>
            <w:pPr>
              <w:pStyle w:val="92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– Налоговый кодекс Российской Федерации; </w:t>
            </w:r>
            <w:r>
              <w:rPr>
                <w:rFonts w:ascii="Times New Roman" w:hAnsi="Times New Roman"/>
                <w:sz w:val="24"/>
              </w:rPr>
            </w:r>
            <w:r/>
          </w:p>
          <w:p>
            <w:pPr>
              <w:pStyle w:val="92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– Трудовой кодекс Российской Федерации;</w:t>
            </w:r>
            <w:r>
              <w:rPr>
                <w:rFonts w:ascii="Times New Roman" w:hAnsi="Times New Roman"/>
                <w:sz w:val="24"/>
              </w:rPr>
            </w:r>
            <w:r/>
          </w:p>
          <w:p>
            <w:pPr>
              <w:pStyle w:val="92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– Бюджетный кодекс Российской Федерации;</w:t>
            </w:r>
            <w:r>
              <w:rPr>
                <w:rFonts w:ascii="Times New Roman" w:hAnsi="Times New Roman"/>
                <w:sz w:val="24"/>
              </w:rPr>
            </w:r>
            <w:r/>
          </w:p>
          <w:p>
            <w:pPr>
              <w:pStyle w:val="92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– Кодекс Российской Федерации об административных правонарушениях;</w:t>
            </w:r>
            <w:r>
              <w:rPr>
                <w:rFonts w:ascii="Times New Roman" w:hAnsi="Times New Roman"/>
                <w:sz w:val="24"/>
              </w:rPr>
            </w:r>
            <w:r/>
          </w:p>
          <w:p>
            <w:pPr>
              <w:pStyle w:val="92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– Жилищный кодекс Российской Федерации;</w:t>
            </w:r>
            <w:r>
              <w:rPr>
                <w:rFonts w:ascii="Times New Roman" w:hAnsi="Times New Roman"/>
                <w:sz w:val="24"/>
              </w:rPr>
            </w:r>
            <w:r/>
          </w:p>
          <w:p>
            <w:pPr>
              <w:pStyle w:val="92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– Семейный кодекс Российской Федерации;</w:t>
            </w:r>
            <w:r>
              <w:rPr>
                <w:rFonts w:ascii="Times New Roman" w:hAnsi="Times New Roman"/>
                <w:sz w:val="24"/>
              </w:rPr>
            </w:r>
            <w:r/>
          </w:p>
          <w:p>
            <w:pPr>
              <w:pStyle w:val="92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– Закон Белгородской области от 28.12.2004 г. № 165 «Социальный Кодекс Белгородской области»;</w:t>
            </w:r>
            <w:r>
              <w:rPr>
                <w:rFonts w:ascii="Times New Roman" w:hAnsi="Times New Roman"/>
                <w:sz w:val="24"/>
              </w:rPr>
            </w:r>
            <w:r/>
          </w:p>
          <w:p>
            <w:pPr>
              <w:pStyle w:val="92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– </w:t>
            </w: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 xml:space="preserve">П</w:t>
            </w: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 xml:space="preserve">остановление Правительства Российской Федерации от 14 декабря 2005 года № 761 «О предоставлении субсидий на оплату жилого помещения и коммунальных услуг»</w:t>
            </w: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 xml:space="preserve">;</w:t>
            </w:r>
            <w:r>
              <w:rPr>
                <w:rFonts w:ascii="Times New Roman" w:hAnsi="Times New Roman"/>
                <w:sz w:val="24"/>
              </w:rPr>
            </w:r>
            <w:r/>
          </w:p>
          <w:p>
            <w:pPr>
              <w:pStyle w:val="92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–</w:t>
            </w:r>
            <w:r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 xml:space="preserve">П</w:t>
            </w: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 xml:space="preserve">остановление Правительства Белгородской области от 28 марта 2011 года № 106-пп «О представлении субсидий на оплату жилого помещения и коммунальных услуг»</w:t>
            </w: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 xml:space="preserve">;</w:t>
            </w:r>
            <w:r>
              <w:rPr>
                <w:rFonts w:ascii="Times New Roman" w:hAnsi="Times New Roman"/>
                <w:sz w:val="24"/>
              </w:rPr>
            </w:r>
            <w:r/>
          </w:p>
          <w:p>
            <w:pPr>
              <w:pStyle w:val="92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–</w:t>
            </w:r>
            <w:r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8"/>
              </w:rPr>
              <w:t xml:space="preserve">П</w:t>
            </w: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 xml:space="preserve">остановление Правительства Белгородской области от 28 апреля 2008 года № 90-пп «О порядке </w:t>
            </w: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 xml:space="preserve">назначения, выплаты и финансирования ежемесячной денежной компенсации на оплату жилого помещения и коммунальных услуг отдельным категориям граждан, проживающих на территории Белгородской области, с применением системы персонифицированных социальных счетов»</w:t>
            </w: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 xml:space="preserve">;</w:t>
            </w:r>
            <w:r>
              <w:rPr>
                <w:rFonts w:ascii="Times New Roman" w:hAnsi="Times New Roman"/>
                <w:sz w:val="24"/>
              </w:rPr>
            </w:r>
            <w:r/>
          </w:p>
          <w:p>
            <w:pPr>
              <w:pStyle w:val="92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 xml:space="preserve">– </w:t>
            </w: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 xml:space="preserve">П</w:t>
            </w: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 xml:space="preserve">остановление Правительства Белгородской области от 4 июля 2016 года № 249-пп «О порядке предоставления ежемесячной денежной компенсации расходов на уплату взноса на капитальный ремонт общего имущества в многоквартирном доме отдельным категориям граждан»</w:t>
            </w: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 xml:space="preserve">;</w:t>
            </w:r>
            <w:r>
              <w:rPr>
                <w:rFonts w:ascii="Times New Roman" w:hAnsi="Times New Roman"/>
                <w:sz w:val="24"/>
              </w:rPr>
            </w:r>
            <w:r/>
          </w:p>
          <w:p>
            <w:pPr>
              <w:pStyle w:val="92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– </w:t>
            </w: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 xml:space="preserve">Постановление Правительств</w:t>
            </w: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 xml:space="preserve">а Белгородской области от 26 декабря 2016 года № 458-пп «Об установлении дополнительной меры социальной поддержки граждан в целях соблюдения утвержденных предельных (максимальных) индексов изменения размера вносимой гражданами платы за коммунальные услуги»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</w:t>
            </w:r>
            <w:r>
              <w:rPr>
                <w:rFonts w:ascii="Times New Roman" w:hAnsi="Times New Roman"/>
                <w:sz w:val="24"/>
              </w:rPr>
            </w:r>
            <w:r/>
          </w:p>
        </w:tc>
      </w:tr>
    </w:tbl>
    <w:p>
      <w:pPr>
        <w:pStyle w:val="894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Муниципальный служащий </w:t>
      </w:r>
      <w:r>
        <w:rPr>
          <w:rFonts w:ascii="Times New Roman" w:hAnsi="Times New Roman"/>
          <w:sz w:val="24"/>
          <w:szCs w:val="24"/>
        </w:rPr>
        <w:t xml:space="preserve">в пределах своей компетенции выполняет следующие должностные обязанности:  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- осуществляет приём документов для назначения ежемесячной денежной компенсации (далее – ЕДК) и субсидии на оплату жилищно-коммунальных услуг (далее – ЖКУ),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  <w:szCs w:val="28"/>
        </w:rPr>
        <w:t xml:space="preserve">для назначения ежегодной денежной выплаты ветеранам боевых действий, постоянно проживающим на территории Новооскольского муниципального округа</w:t>
      </w:r>
      <w:r>
        <w:rPr>
          <w:rFonts w:ascii="Times New Roman" w:hAnsi="Times New Roman"/>
          <w:sz w:val="24"/>
          <w:szCs w:val="28"/>
        </w:rPr>
        <w:t xml:space="preserve">,</w:t>
      </w:r>
      <w:r>
        <w:rPr>
          <w:rFonts w:ascii="Times New Roman" w:hAnsi="Times New Roman"/>
          <w:sz w:val="24"/>
          <w:szCs w:val="28"/>
        </w:rPr>
        <w:t xml:space="preserve"> производит сверку документов и на основании этой сверки заверяет копии документов;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- осуществляет формирование и направление межведомственных запросов о предоставлении документов (информации), необходимых для предоставления ЕДК и субсидии, </w:t>
      </w:r>
      <w:r>
        <w:rPr>
          <w:rFonts w:ascii="Times New Roman" w:hAnsi="Times New Roman"/>
          <w:sz w:val="24"/>
          <w:szCs w:val="28"/>
        </w:rPr>
        <w:t xml:space="preserve">ежегодной денежной выплаты ветеранам боевых действий</w:t>
      </w:r>
      <w:r>
        <w:rPr>
          <w:rFonts w:ascii="Times New Roman" w:hAnsi="Times New Roman"/>
          <w:sz w:val="24"/>
          <w:szCs w:val="28"/>
        </w:rPr>
        <w:t xml:space="preserve"> </w:t>
      </w:r>
      <w:r>
        <w:rPr>
          <w:rFonts w:ascii="Times New Roman" w:hAnsi="Times New Roman"/>
          <w:sz w:val="24"/>
          <w:szCs w:val="28"/>
        </w:rPr>
        <w:t xml:space="preserve">в государственные органы и иные органы, участвующие в предоставлении государственных услуг;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- устанавливает право заявителя на назначение ЕДК и субсидии на оплату ЖКУ</w:t>
      </w:r>
      <w:r>
        <w:rPr>
          <w:rFonts w:ascii="Times New Roman" w:hAnsi="Times New Roman"/>
          <w:sz w:val="24"/>
          <w:szCs w:val="28"/>
        </w:rPr>
        <w:t xml:space="preserve">,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  <w:szCs w:val="28"/>
        </w:rPr>
        <w:t xml:space="preserve">ежегодной денежной выплаты ветеранам боевых действий</w:t>
      </w:r>
      <w:r>
        <w:rPr>
          <w:rFonts w:ascii="Times New Roman" w:hAnsi="Times New Roman"/>
          <w:sz w:val="24"/>
          <w:szCs w:val="28"/>
        </w:rPr>
        <w:t xml:space="preserve"> и готовит проект решения о назначении/отказе в назначении ЕДК, субсидии</w:t>
      </w:r>
      <w:r>
        <w:rPr>
          <w:rFonts w:ascii="Times New Roman" w:hAnsi="Times New Roman"/>
          <w:sz w:val="24"/>
          <w:szCs w:val="28"/>
        </w:rPr>
        <w:t xml:space="preserve">,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  <w:szCs w:val="28"/>
        </w:rPr>
        <w:t xml:space="preserve">ежегодной денежной выплаты ветеранам боевых действий</w:t>
      </w:r>
      <w:r>
        <w:rPr>
          <w:rFonts w:ascii="Times New Roman" w:hAnsi="Times New Roman"/>
          <w:sz w:val="24"/>
          <w:szCs w:val="28"/>
        </w:rPr>
        <w:t xml:space="preserve">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- формирует личное дело получателя ЕДК, субсидии</w:t>
      </w:r>
      <w:r>
        <w:rPr>
          <w:rFonts w:ascii="Times New Roman" w:hAnsi="Times New Roman"/>
          <w:sz w:val="24"/>
          <w:szCs w:val="28"/>
        </w:rPr>
        <w:t xml:space="preserve">,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  <w:szCs w:val="28"/>
        </w:rPr>
        <w:t xml:space="preserve">ежегодной денежной выплаты ветеранам боевых действий</w:t>
      </w:r>
      <w:r>
        <w:rPr>
          <w:rFonts w:ascii="Times New Roman" w:hAnsi="Times New Roman"/>
          <w:sz w:val="24"/>
          <w:szCs w:val="28"/>
        </w:rPr>
        <w:t xml:space="preserve">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- производит индивидуальный расчет размера ЕДК, субсидии;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- осуществляет назначение и выплату единовременной компенсации расходов по оплате за коммунальные услуги, носящие разовый характер;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- осуществляет приостановление предоставления ЕДК и субсидии или прекращение предоставления ЕДК и субсидии.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На основании заявлений граждан о предоставлении единовременной денежной выплаты гражданам Российской Федерации, постоянно проживающим на территории Белгородской области: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- формирует в отношении каждого заявителя личное дело, в которое включаются документы, являющиеся основанием для предоставления единовременной выплаты;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- производит расчет прожиточного минимума семьи заявителя с учетом величин прожиточных минимумов всех членов семьи, установленных соответствующих социально-демографических групп, действующих на дату принятия заявления;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- производит расчет среднедушевого дохода семьи заявителя за расчетный период;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На основании данных органов ЗАГС, миграционной службы, территориальных администраций вводит информацию о прекращении выплаты ЕДК, субсидии и снимает с учета: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- умерших граждан, 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- граждан, изменивших место жительства.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На основании данных поставщиков жилищно-коммунальных услуг: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- выявляет задвоенные лицевые счета;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- выявляет домохозяйства с задвоенными фактическими данными и корректирует их;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- выявляет факты допущения заявителями задолженности по оплате жилого помещения и коммунальных услуг (или их отдельных видов) в течение трех месяцев для получателей ЕДК и двух месяцев для получателей субсидии;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- выявляет расхождения в тарифах коммунальных услуг;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-</w:t>
      </w:r>
      <w:r>
        <w:rPr>
          <w:rFonts w:ascii="Times New Roman" w:hAnsi="Times New Roman"/>
          <w:sz w:val="24"/>
          <w:szCs w:val="28"/>
        </w:rPr>
        <w:t xml:space="preserve"> ежемесячно до 5 числа готовит и направляет в организации жилищно-коммунального хозяйства реестры получателей субсидий и ЕДК в электронном виде и (или) на бумажном носителе согласно структуре файлов обмена, предусмотренного соглашениями с поставщиками ЖКУ;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- ежемесячно получает от поставщиков жилищно-коммунальных услуг сведения в электронном виде о фактически потребленных и оплаченных объемах жилищно-коммунальных услуг (файлы обмена);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- загружает в программный комплекс полученные сведения от поставщиков ЖКУ об объемах жилищно-коммунальных услуг в натуральном и стоимостном выражении, фактически оплаченных гражданами за соответствующий период;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- производит сверку файла обмена с базой данных получателей ЕДК, субсидии, по результатам которой выгружает «протокол отклонений», предусмотренный программным комплексом, вносит необходимые исправления; 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- не позднее 27 числа каждого месяца производит массовый расчет (перерасчет) размера ЕДК на основании сведений от поставщиков жилищно-коммунальных услуг;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- не реже 2 раз в месяц производит массовый расчет размера ЕДК на основании сведений от иных организаций;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- ежемесячно до 1 числа месяца, в котором производится выплата ЕДК, формирует автоматизированным способом в программном комплексе с использованием базы данных получателей ЕДК выплатные документы на получателей ЕДК;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- проводит актуализацию базы данных получателей субсидии по следующим направлениям: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- формирует список граждан, которым субсидия назначена более чем одного раза за один и тот же месяц;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- формирует список граждан, не обратившихся вновь за получением субсидии, у которых имеются не произведенные удержания; 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- формирует список заявлений, в которых начисления не совпадают с назначениями; 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- и другим направлениям в соответствии с изменениями, вносимыми в программный комплекс АСП;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- осуществляет ежемесячный перерасчет первоначально начисленного размера субсидии;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- не позднее 20 числа каждого месяца формирует выплатные документы для перечисления субсидий на банковские счета получателей субсидии, или выплаты (доставки) через отделения почтовой связи;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- не </w:t>
      </w:r>
      <w:r>
        <w:rPr>
          <w:rFonts w:ascii="Times New Roman" w:hAnsi="Times New Roman"/>
          <w:sz w:val="24"/>
          <w:szCs w:val="28"/>
        </w:rPr>
        <w:t xml:space="preserve">позднее 24 числа ежемесячно формирует список получателей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  <w:szCs w:val="28"/>
        </w:rPr>
        <w:t xml:space="preserve">ежегодной денежной выплаты ветеранам боевых действий</w:t>
      </w:r>
      <w:r>
        <w:rPr>
          <w:rFonts w:ascii="Times New Roman" w:hAnsi="Times New Roman"/>
          <w:sz w:val="24"/>
          <w:szCs w:val="28"/>
        </w:rPr>
        <w:t xml:space="preserve">.</w:t>
      </w:r>
      <w:r>
        <w:rPr>
          <w:sz w:val="24"/>
          <w:szCs w:val="24"/>
          <w:highlight w:val="none"/>
        </w:rPr>
      </w:r>
      <w:r/>
    </w:p>
    <w:p>
      <w:pPr>
        <w:pStyle w:val="894"/>
        <w:jc w:val="both"/>
        <w:tabs>
          <w:tab w:val="left" w:pos="989" w:leader="none"/>
        </w:tabs>
        <w:rPr>
          <w:sz w:val="24"/>
          <w:szCs w:val="24"/>
          <w:highlight w:val="none"/>
        </w:rPr>
      </w:pPr>
      <w:r>
        <w:rPr>
          <w:sz w:val="24"/>
          <w:szCs w:val="24"/>
        </w:rPr>
        <w:t xml:space="preserve">          </w:t>
      </w:r>
      <w:r>
        <w:rPr>
          <w:sz w:val="24"/>
          <w:szCs w:val="24"/>
        </w:rPr>
        <w:t xml:space="preserve">Права  </w:t>
      </w:r>
      <w:r>
        <w:rPr>
          <w:sz w:val="24"/>
          <w:szCs w:val="24"/>
        </w:rPr>
        <w:t xml:space="preserve">муниципального </w:t>
      </w:r>
      <w:r>
        <w:rPr>
          <w:sz w:val="24"/>
          <w:szCs w:val="24"/>
        </w:rPr>
        <w:t xml:space="preserve">  служащего  и  ответственность за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неисполнение (ненадлежащее) исполнение должностных обязанностей установлены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Федеральным  </w:t>
      </w:r>
      <w:r>
        <w:rPr>
          <w:color w:val="000000"/>
          <w:sz w:val="24"/>
          <w:szCs w:val="24"/>
        </w:rPr>
        <w:fldChar w:fldCharType="begin"/>
      </w:r>
      <w:r>
        <w:rPr>
          <w:color w:val="000000"/>
          <w:sz w:val="24"/>
          <w:szCs w:val="24"/>
        </w:rPr>
        <w:instrText xml:space="preserve">HYPERLINK "consultantplus://offline/ref=CCF5CBA3A95139190F99B62D928F5EE10D4D4ABDC27C84CF9A85E80E016B911B40745AD23DE33B0467BDAEA55BY3f5K"</w:instrText>
      </w:r>
      <w:r>
        <w:rPr>
          <w:color w:val="000000"/>
          <w:sz w:val="24"/>
          <w:szCs w:val="24"/>
        </w:rPr>
        <w:fldChar w:fldCharType="separate"/>
      </w:r>
      <w:r>
        <w:rPr>
          <w:color w:val="000000"/>
          <w:sz w:val="24"/>
          <w:szCs w:val="24"/>
        </w:rPr>
        <w:t xml:space="preserve">законом</w:t>
      </w:r>
      <w:r>
        <w:rPr>
          <w:color w:val="000000"/>
          <w:sz w:val="24"/>
          <w:szCs w:val="24"/>
        </w:rPr>
        <w:fldChar w:fldCharType="end"/>
      </w:r>
      <w:r>
        <w:rPr>
          <w:sz w:val="24"/>
          <w:szCs w:val="24"/>
        </w:rPr>
        <w:t xml:space="preserve">  от  </w:t>
      </w:r>
      <w:r>
        <w:rPr>
          <w:sz w:val="24"/>
          <w:szCs w:val="24"/>
        </w:rPr>
        <w:t xml:space="preserve">02 марта 2007 года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№</w:t>
      </w:r>
      <w:r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25</w:t>
      </w:r>
      <w:r>
        <w:rPr>
          <w:sz w:val="24"/>
          <w:szCs w:val="24"/>
        </w:rPr>
        <w:t xml:space="preserve">-ФЗ </w:t>
      </w:r>
      <w:r>
        <w:rPr>
          <w:sz w:val="24"/>
          <w:szCs w:val="24"/>
        </w:rPr>
        <w:t xml:space="preserve">«О муниципальной службе в Российской Федерации».</w:t>
      </w:r>
      <w:r>
        <w:rPr>
          <w:sz w:val="24"/>
          <w:szCs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Эффективность  профессиональной  служебной  деятельности  по  вакантной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должности оценивается по следующим показателям:</w:t>
      </w:r>
      <w:r/>
    </w:p>
    <w:p>
      <w:pPr>
        <w:pStyle w:val="89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Эффективность и результативность профессиональной служебной деятельности работника определяется по результатам его профессиональной служебной деятельности в порядке, установленном нормативными правовыми актами района;</w:t>
      </w:r>
      <w:r/>
    </w:p>
    <w:p>
      <w:pPr>
        <w:pStyle w:val="89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Показатели результативности для проведения оценки эффективности профессиональной служебной деятельности работника:</w:t>
      </w:r>
      <w:r/>
    </w:p>
    <w:p>
      <w:pPr>
        <w:pStyle w:val="89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–объем выполненных работ (в том числе в рамках проектной деятельности);</w:t>
      </w:r>
      <w:r/>
    </w:p>
    <w:p>
      <w:pPr>
        <w:pStyle w:val="89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– качество выполненных работ;</w:t>
      </w:r>
      <w:r/>
    </w:p>
    <w:p>
      <w:pPr>
        <w:pStyle w:val="89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– своевременность выполнения работ;</w:t>
      </w:r>
      <w:r/>
    </w:p>
    <w:p>
      <w:pPr>
        <w:pStyle w:val="89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– количество нарушений должностной инструкции и административных регламентов;</w:t>
      </w:r>
      <w:r/>
    </w:p>
    <w:p>
      <w:pPr>
        <w:pStyle w:val="894"/>
        <w:ind w:firstLine="709"/>
        <w:jc w:val="both"/>
        <w:rPr>
          <w:rStyle w:val="924"/>
          <w:sz w:val="24"/>
          <w:szCs w:val="24"/>
        </w:rPr>
      </w:pPr>
      <w:r>
        <w:rPr>
          <w:sz w:val="24"/>
          <w:szCs w:val="24"/>
        </w:rPr>
        <w:t xml:space="preserve">– количество обоснованных жалоб.</w:t>
      </w:r>
      <w:r>
        <w:rPr>
          <w:rStyle w:val="924"/>
          <w:sz w:val="24"/>
          <w:szCs w:val="24"/>
        </w:rPr>
      </w:r>
      <w:r/>
    </w:p>
    <w:p>
      <w:pPr>
        <w:pStyle w:val="90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Условия прохождения </w:t>
      </w:r>
      <w:r>
        <w:rPr>
          <w:rFonts w:ascii="Times New Roman" w:hAnsi="Times New Roman"/>
          <w:sz w:val="24"/>
          <w:szCs w:val="24"/>
        </w:rPr>
        <w:t xml:space="preserve">муниципальной</w:t>
      </w:r>
      <w:r>
        <w:rPr>
          <w:rFonts w:ascii="Times New Roman" w:hAnsi="Times New Roman"/>
          <w:sz w:val="24"/>
          <w:szCs w:val="24"/>
        </w:rPr>
        <w:t xml:space="preserve"> службы:</w:t>
      </w:r>
      <w:r/>
    </w:p>
    <w:p>
      <w:pPr>
        <w:pStyle w:val="903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Пятидневная  рабочая  неделя  (выходные  дни  -  суббота и воскресенье,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нерабочие праздничные дни).</w:t>
      </w:r>
      <w:r/>
    </w:p>
    <w:p>
      <w:pPr>
        <w:pStyle w:val="903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Продолжительность  ежегодного  оплачиваемого  отпуска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                                   «О муниципальной службе в Российской Федерации».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Оплата  труда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служащего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25</w:t>
      </w:r>
      <w:r>
        <w:rPr>
          <w:rFonts w:ascii="Times New Roman" w:hAnsi="Times New Roman"/>
          <w:sz w:val="24"/>
          <w:szCs w:val="24"/>
        </w:rPr>
        <w:t xml:space="preserve">-ФЗ</w:t>
      </w:r>
      <w:r>
        <w:rPr>
          <w:rFonts w:ascii="Times New Roman" w:hAnsi="Times New Roman"/>
          <w:sz w:val="24"/>
          <w:szCs w:val="24"/>
        </w:rPr>
        <w:t xml:space="preserve"> «О муниципальной службе в Российской Федерации» 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решением Совета депутатов Новооскольского муниципального округа Белгородской области от 29 октября 2024 года № 202 «Об оплате труда муниципальных служащих Новооскольского муниципального округа Белгородской области»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</w:rPr>
      </w:r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Служебные  командировки  по территории Российской Федерации возможны по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мере необходимости.</w:t>
      </w:r>
      <w:r>
        <w:rPr>
          <w:rFonts w:ascii="Times New Roman" w:hAnsi="Times New Roman"/>
        </w:rPr>
      </w:r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С  положением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об органе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</w:t>
      </w:r>
      <w:r>
        <w:rPr>
          <w:rFonts w:ascii="Times New Roman" w:hAnsi="Times New Roman"/>
          <w:sz w:val="24"/>
          <w:szCs w:val="24"/>
        </w:rPr>
        <w:t xml:space="preserve">ом</w:t>
      </w:r>
      <w:r>
        <w:rPr>
          <w:rFonts w:ascii="Times New Roman" w:hAnsi="Times New Roman"/>
          <w:sz w:val="24"/>
          <w:szCs w:val="24"/>
        </w:rPr>
        <w:t xml:space="preserve"> проводится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конкурс,   и   с   должностн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инструкцией</w:t>
      </w:r>
      <w:r>
        <w:rPr>
          <w:rFonts w:ascii="Times New Roman" w:hAnsi="Times New Roman"/>
          <w:sz w:val="24"/>
          <w:szCs w:val="24"/>
        </w:rPr>
        <w:t xml:space="preserve">  вакантн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должност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можно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ознакомиться в</w:t>
      </w:r>
      <w:r>
        <w:rPr>
          <w:rFonts w:ascii="Times New Roman" w:hAnsi="Times New Roman"/>
          <w:sz w:val="24"/>
          <w:szCs w:val="24"/>
        </w:rPr>
        <w:t xml:space="preserve"> отделе муниципальной службы и кадров администрации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округа.</w:t>
      </w:r>
      <w:r>
        <w:rPr>
          <w:rFonts w:ascii="Times New Roman" w:hAnsi="Times New Roman"/>
        </w:rPr>
      </w:r>
      <w:r/>
    </w:p>
    <w:p>
      <w:pPr>
        <w:pStyle w:val="894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rFonts w:ascii="Times New Roman" w:hAnsi="Times New Roman"/>
          <w:color w:val="000000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  <w:t xml:space="preserve">Прием заявлений и прилагаемых документов на конкурс начинается </w:t>
      </w:r>
      <w:r>
        <w:rPr>
          <w:rFonts w:ascii="Times New Roman" w:hAnsi="Times New Roman"/>
          <w:b w:val="false"/>
          <w:color w:val="000000"/>
          <w:sz w:val="24"/>
          <w:szCs w:val="24"/>
        </w:rPr>
        <w:t xml:space="preserve">с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23 апреля          2025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года</w:t>
      </w:r>
      <w:r>
        <w:rPr>
          <w:rFonts w:ascii="Times New Roman" w:hAnsi="Times New Roman"/>
          <w:color w:val="000000"/>
          <w:sz w:val="24"/>
          <w:szCs w:val="24"/>
        </w:rPr>
        <w:t xml:space="preserve"> (со дня размещения объявления на официальном сайте органов местного самоуправления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color w:val="000000"/>
          <w:sz w:val="24"/>
          <w:szCs w:val="24"/>
        </w:rPr>
        <w:t xml:space="preserve"> округа в сети Интернет по адресу: </w:t>
      </w:r>
      <w:r>
        <w:rPr>
          <w:rFonts w:ascii="Times New Roman" w:hAnsi="Times New Roman"/>
          <w:color w:val="3366FF"/>
          <w:sz w:val="24"/>
          <w:szCs w:val="24"/>
        </w:rPr>
        <w:t xml:space="preserve">https://novyjoskol-r31.gosweb.gosuslugi.ru/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и заканчивается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21 мая 2025 года</w:t>
      </w:r>
      <w:r>
        <w:rPr>
          <w:rFonts w:ascii="Times New Roman" w:hAnsi="Times New Roman"/>
          <w:color w:val="000000"/>
          <w:sz w:val="24"/>
          <w:szCs w:val="24"/>
        </w:rPr>
        <w:t xml:space="preserve">.</w:t>
      </w:r>
      <w:r>
        <w:rPr>
          <w:rFonts w:ascii="Times New Roman" w:hAnsi="Times New Roman"/>
          <w:color w:val="000000"/>
        </w:rPr>
      </w:r>
      <w:r/>
    </w:p>
    <w:p>
      <w:pPr>
        <w:pStyle w:val="894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rFonts w:ascii="Times New Roman" w:hAnsi="Times New Roman"/>
        </w:rPr>
      </w:pPr>
      <w:r>
        <w:rPr>
          <w:rFonts w:ascii="Times New Roman" w:hAnsi="Times New Roman"/>
          <w:color w:val="000000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  <w:t xml:space="preserve">Все конкурсные документы доставляются лично в рабочие дни с 8.00 до 17.00  либо почтой (заказным письмом с уведомлением) по адресу: 309640, </w:t>
      </w:r>
      <w:r>
        <w:rPr>
          <w:rFonts w:ascii="Times New Roman" w:hAnsi="Times New Roman"/>
          <w:sz w:val="24"/>
          <w:szCs w:val="24"/>
        </w:rPr>
        <w:t xml:space="preserve">г. Новый Оскол,  ул. 1 Мая, д. 2 в отдел муниципальной службы и кадров администрации Новооскольского муниципального округа.</w:t>
      </w:r>
      <w:r>
        <w:rPr>
          <w:rFonts w:ascii="Times New Roman" w:hAnsi="Times New Roman"/>
        </w:rPr>
      </w:r>
      <w:r/>
    </w:p>
    <w:p>
      <w:pPr>
        <w:pStyle w:val="894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>
        <w:rPr>
          <w:rFonts w:ascii="Times New Roman" w:hAnsi="Times New Roman"/>
          <w:sz w:val="24"/>
          <w:szCs w:val="24"/>
        </w:rPr>
      </w:r>
      <w:r>
        <w:rPr>
          <w:sz w:val="24"/>
          <w:szCs w:val="24"/>
        </w:rPr>
        <w:t xml:space="preserve">При  направлении документов почтой датой их приема будет считаться дата получения  заказного  письма администрации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округа.</w:t>
      </w:r>
      <w:r/>
      <w:r/>
    </w:p>
    <w:p>
      <w:pPr>
        <w:pStyle w:val="894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color w:val="000000"/>
        </w:rPr>
      </w:pPr>
      <w:r>
        <w:rPr>
          <w:sz w:val="24"/>
          <w:szCs w:val="24"/>
        </w:rPr>
      </w:r>
      <w:r>
        <w:rPr>
          <w:color w:val="000000"/>
          <w:sz w:val="24"/>
          <w:szCs w:val="24"/>
        </w:rPr>
        <w:t xml:space="preserve">Заседание комиссии по проведению конкурса для определения победителя конкурса состоится </w:t>
      </w:r>
      <w:r>
        <w:rPr>
          <w:b/>
          <w:color w:val="000000"/>
          <w:sz w:val="24"/>
          <w:szCs w:val="24"/>
        </w:rPr>
        <w:t xml:space="preserve">05 </w:t>
      </w:r>
      <w:r>
        <w:rPr>
          <w:b/>
          <w:color w:val="000000"/>
          <w:sz w:val="24"/>
          <w:szCs w:val="24"/>
        </w:rPr>
        <w:t xml:space="preserve">июня 2025 года в 09.00 часов</w:t>
      </w:r>
      <w:r>
        <w:rPr>
          <w:color w:val="000000"/>
          <w:sz w:val="24"/>
          <w:szCs w:val="24"/>
        </w:rPr>
        <w:t xml:space="preserve">.</w:t>
      </w:r>
      <w:r>
        <w:rPr>
          <w:color w:val="000000"/>
        </w:rPr>
      </w:r>
      <w:r/>
    </w:p>
    <w:p>
      <w:pPr>
        <w:pStyle w:val="894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rFonts w:ascii="Times New Roman" w:hAnsi="Times New Roman"/>
        </w:rPr>
      </w:pPr>
      <w:r>
        <w:rPr>
          <w:color w:val="000000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Расходы, с</w:t>
      </w:r>
      <w:r>
        <w:rPr>
          <w:rFonts w:ascii="Times New Roman" w:hAnsi="Times New Roman"/>
          <w:sz w:val="24"/>
          <w:szCs w:val="24"/>
        </w:rPr>
        <w:t xml:space="preserve">вязанные с участием в конкурсе (проезд к месту проведения конкурса                      и обратно, наем жилого помещения, проживание, пользование услугами средств связи                      и другие), осуществляются кандидатами за счет собственных средств.</w:t>
      </w:r>
      <w:r>
        <w:rPr>
          <w:rFonts w:ascii="Times New Roman" w:hAnsi="Times New Roman"/>
        </w:rPr>
      </w:r>
      <w:r/>
    </w:p>
    <w:p>
      <w:pPr>
        <w:pStyle w:val="894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Телефон для справок: 4-47-88, 4-83-53.</w:t>
      </w:r>
      <w:r/>
      <w:r/>
    </w:p>
    <w:p>
      <w:pPr>
        <w:pStyle w:val="894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/>
      <w:r/>
    </w:p>
    <w:p>
      <w:pPr>
        <w:pStyle w:val="894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/>
      <w:r/>
    </w:p>
    <w:p>
      <w:pPr>
        <w:pStyle w:val="894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/>
      <w:r/>
    </w:p>
    <w:p>
      <w:pPr>
        <w:pStyle w:val="894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/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4"/>
        <w:ind w:firstLine="720"/>
        <w:jc w:val="both"/>
        <w:spacing w:before="100" w:beforeAutospacing="1"/>
      </w:pPr>
      <w:r/>
      <w:r/>
    </w:p>
    <w:p>
      <w:pPr>
        <w:pStyle w:val="894"/>
        <w:ind w:firstLine="720"/>
        <w:jc w:val="both"/>
        <w:spacing w:before="100" w:beforeAutospacing="1"/>
      </w:pPr>
      <w:r/>
      <w:r/>
    </w:p>
    <w:sectPr>
      <w:headerReference w:type="default" r:id="rId9"/>
      <w:headerReference w:type="even" r:id="rId10"/>
      <w:footnotePr/>
      <w:endnotePr/>
      <w:type w:val="continuous"/>
      <w:pgSz w:w="11909" w:h="16834" w:orient="portrait"/>
      <w:pgMar w:top="709" w:right="851" w:bottom="851" w:left="1418" w:header="720" w:footer="720" w:gutter="0"/>
      <w:cols w:num="1" w:sep="0" w:space="6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>
        <w:separator/>
      </w:r>
      <w:r/>
    </w:p>
  </w:endnote>
  <w:endnote w:type="continuationSeparator" w:id="0">
    <w:p>
      <w:pPr>
        <w:spacing w:lineRule="auto" w:line="240" w:after="0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Wingdings">
    <w:panose1 w:val="05010000000000000000"/>
  </w:font>
  <w:font w:name="Gulim">
    <w:panose1 w:val="020B0606020202030204"/>
  </w:font>
  <w:font w:name="Calibri">
    <w:panose1 w:val="020F0502020204030204"/>
  </w:font>
  <w:font w:name="Times New Roman">
    <w:panose1 w:val="02020603050405020304"/>
  </w:font>
  <w:font w:name="Courier New">
    <w:panose1 w:val="02070409020205020404"/>
  </w:font>
  <w:font w:name="Tahoma">
    <w:panose1 w:val="020B060403050404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99"/>
      <w:rPr>
        <w:rStyle w:val="900"/>
      </w:rPr>
      <w:framePr w:wrap="around" w:vAnchor="text" w:hAnchor="margin" w:xAlign="center" w:y="1"/>
    </w:pPr>
    <w:r>
      <w:rPr>
        <w:rStyle w:val="900"/>
      </w:rPr>
      <w:fldChar w:fldCharType="begin"/>
    </w:r>
    <w:r>
      <w:rPr>
        <w:rStyle w:val="900"/>
      </w:rPr>
      <w:instrText xml:space="preserve">PAGE  </w:instrText>
    </w:r>
    <w:r>
      <w:rPr>
        <w:rStyle w:val="900"/>
      </w:rPr>
      <w:fldChar w:fldCharType="separate"/>
    </w:r>
    <w:r>
      <w:rPr>
        <w:rStyle w:val="900"/>
      </w:rPr>
      <w:t xml:space="preserve">5</w:t>
    </w:r>
    <w:r>
      <w:rPr>
        <w:rStyle w:val="900"/>
      </w:rPr>
      <w:fldChar w:fldCharType="end"/>
    </w:r>
    <w:r>
      <w:rPr>
        <w:rStyle w:val="900"/>
      </w:rPr>
    </w:r>
    <w:r/>
  </w:p>
  <w:p>
    <w:pPr>
      <w:pStyle w:val="899"/>
      <w:ind w:right="360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99"/>
      <w:rPr>
        <w:rStyle w:val="900"/>
      </w:rPr>
      <w:framePr w:wrap="around" w:vAnchor="text" w:hAnchor="margin" w:xAlign="center" w:y="1"/>
    </w:pPr>
    <w:r>
      <w:rPr>
        <w:rStyle w:val="900"/>
      </w:rPr>
      <w:fldChar w:fldCharType="begin"/>
    </w:r>
    <w:r>
      <w:rPr>
        <w:rStyle w:val="900"/>
      </w:rPr>
      <w:instrText xml:space="preserve">PAGE  </w:instrText>
    </w:r>
    <w:r>
      <w:rPr>
        <w:rStyle w:val="900"/>
      </w:rPr>
      <w:fldChar w:fldCharType="separate"/>
    </w:r>
    <w:r>
      <w:rPr>
        <w:rStyle w:val="900"/>
      </w:rPr>
      <w:t xml:space="preserve">3</w:t>
    </w:r>
    <w:r>
      <w:rPr>
        <w:rStyle w:val="900"/>
      </w:rPr>
      <w:fldChar w:fldCharType="end"/>
    </w:r>
    <w:r>
      <w:rPr>
        <w:rStyle w:val="900"/>
      </w:rPr>
    </w:r>
    <w:r/>
  </w:p>
  <w:p>
    <w:pPr>
      <w:pStyle w:val="899"/>
      <w:ind w:right="360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0"/>
      <w:numFmt w:val="bullet"/>
      <w:isLgl w:val="false"/>
      <w:suff w:val="tab"/>
      <w:lvlText w:val="*"/>
      <w:lvlJc w:val="left"/>
      <w:pPr>
        <w:pStyle w:val="894"/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pStyle w:val="894"/>
        <w:ind w:left="720" w:hanging="360"/>
        <w:tabs>
          <w:tab w:val="num" w:pos="720" w:leader="none"/>
        </w:tabs>
      </w:pPr>
      <w:rPr>
        <w:rFonts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pStyle w:val="894"/>
        <w:ind w:left="1440" w:hanging="360"/>
        <w:tabs>
          <w:tab w:val="num" w:pos="1440" w:leader="none"/>
        </w:tabs>
      </w:pPr>
      <w:rPr>
        <w:rFonts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pStyle w:val="894"/>
        <w:ind w:left="2160" w:hanging="360"/>
        <w:tabs>
          <w:tab w:val="num" w:pos="2160" w:leader="none"/>
        </w:tabs>
      </w:pPr>
      <w:rPr>
        <w:rFonts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pStyle w:val="894"/>
        <w:ind w:left="2880" w:hanging="360"/>
        <w:tabs>
          <w:tab w:val="num" w:pos="2880" w:leader="none"/>
        </w:tabs>
      </w:pPr>
      <w:rPr>
        <w:rFonts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pStyle w:val="894"/>
        <w:ind w:left="3600" w:hanging="360"/>
        <w:tabs>
          <w:tab w:val="num" w:pos="3600" w:leader="none"/>
        </w:tabs>
      </w:pPr>
      <w:rPr>
        <w:rFonts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pStyle w:val="894"/>
        <w:ind w:left="4320" w:hanging="360"/>
        <w:tabs>
          <w:tab w:val="num" w:pos="4320" w:leader="none"/>
        </w:tabs>
      </w:pPr>
      <w:rPr>
        <w:rFonts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pStyle w:val="894"/>
        <w:ind w:left="5040" w:hanging="360"/>
        <w:tabs>
          <w:tab w:val="num" w:pos="5040" w:leader="none"/>
        </w:tabs>
      </w:pPr>
      <w:rPr>
        <w:rFonts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pStyle w:val="894"/>
        <w:ind w:left="5760" w:hanging="360"/>
        <w:tabs>
          <w:tab w:val="num" w:pos="5760" w:leader="none"/>
        </w:tabs>
      </w:pPr>
      <w:rPr>
        <w:rFonts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pStyle w:val="894"/>
        <w:ind w:left="6480" w:hanging="360"/>
        <w:tabs>
          <w:tab w:val="num" w:pos="6480" w:leader="none"/>
        </w:tabs>
      </w:pPr>
      <w:rPr>
        <w:rFonts w:ascii="Wingdings" w:hAnsi="Wingdings"/>
        <w:sz w:val="20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pStyle w:val="894"/>
      </w:pPr>
      <w:rPr>
        <w:rFonts w:ascii="Times New Roman" w:hAnsi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1">
      <w:start w:val="0"/>
      <w:numFmt w:val="decimal"/>
      <w:isLgl w:val="false"/>
      <w:suff w:val="tab"/>
      <w:lvlText w:val=""/>
      <w:lvlJc w:val="left"/>
      <w:pPr>
        <w:pStyle w:val="894"/>
      </w:pPr>
    </w:lvl>
    <w:lvl w:ilvl="2">
      <w:start w:val="0"/>
      <w:numFmt w:val="decimal"/>
      <w:isLgl w:val="false"/>
      <w:suff w:val="tab"/>
      <w:lvlText w:val=""/>
      <w:lvlJc w:val="left"/>
      <w:pPr>
        <w:pStyle w:val="894"/>
      </w:pPr>
    </w:lvl>
    <w:lvl w:ilvl="3">
      <w:start w:val="0"/>
      <w:numFmt w:val="decimal"/>
      <w:isLgl w:val="false"/>
      <w:suff w:val="tab"/>
      <w:lvlText w:val=""/>
      <w:lvlJc w:val="left"/>
      <w:pPr>
        <w:pStyle w:val="894"/>
      </w:pPr>
    </w:lvl>
    <w:lvl w:ilvl="4">
      <w:start w:val="0"/>
      <w:numFmt w:val="decimal"/>
      <w:isLgl w:val="false"/>
      <w:suff w:val="tab"/>
      <w:lvlText w:val=""/>
      <w:lvlJc w:val="left"/>
      <w:pPr>
        <w:pStyle w:val="894"/>
      </w:pPr>
    </w:lvl>
    <w:lvl w:ilvl="5">
      <w:start w:val="0"/>
      <w:numFmt w:val="decimal"/>
      <w:isLgl w:val="false"/>
      <w:suff w:val="tab"/>
      <w:lvlText w:val=""/>
      <w:lvlJc w:val="left"/>
      <w:pPr>
        <w:pStyle w:val="894"/>
      </w:pPr>
    </w:lvl>
    <w:lvl w:ilvl="6">
      <w:start w:val="0"/>
      <w:numFmt w:val="decimal"/>
      <w:isLgl w:val="false"/>
      <w:suff w:val="tab"/>
      <w:lvlText w:val=""/>
      <w:lvlJc w:val="left"/>
      <w:pPr>
        <w:pStyle w:val="894"/>
      </w:pPr>
    </w:lvl>
    <w:lvl w:ilvl="7">
      <w:start w:val="0"/>
      <w:numFmt w:val="decimal"/>
      <w:isLgl w:val="false"/>
      <w:suff w:val="tab"/>
      <w:lvlText w:val=""/>
      <w:lvlJc w:val="left"/>
      <w:pPr>
        <w:pStyle w:val="894"/>
      </w:pPr>
    </w:lvl>
    <w:lvl w:ilvl="8">
      <w:start w:val="0"/>
      <w:numFmt w:val="decimal"/>
      <w:isLgl w:val="false"/>
      <w:suff w:val="tab"/>
      <w:lvlText w:val=""/>
      <w:lvlJc w:val="left"/>
      <w:pPr>
        <w:pStyle w:val="894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94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4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4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4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4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4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4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4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4"/>
        <w:ind w:left="6480" w:hanging="180"/>
        <w:tabs>
          <w:tab w:val="num" w:pos="6480" w:leader="none"/>
        </w:tabs>
      </w:p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94"/>
      </w:pPr>
      <w:rPr>
        <w:rFonts w:ascii="Times New Roman" w:hAnsi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1">
      <w:start w:val="0"/>
      <w:numFmt w:val="decimal"/>
      <w:isLgl w:val="false"/>
      <w:suff w:val="tab"/>
      <w:lvlText w:val=""/>
      <w:lvlJc w:val="left"/>
      <w:pPr>
        <w:pStyle w:val="894"/>
      </w:pPr>
    </w:lvl>
    <w:lvl w:ilvl="2">
      <w:start w:val="0"/>
      <w:numFmt w:val="decimal"/>
      <w:isLgl w:val="false"/>
      <w:suff w:val="tab"/>
      <w:lvlText w:val=""/>
      <w:lvlJc w:val="left"/>
      <w:pPr>
        <w:pStyle w:val="894"/>
      </w:pPr>
    </w:lvl>
    <w:lvl w:ilvl="3">
      <w:start w:val="0"/>
      <w:numFmt w:val="decimal"/>
      <w:isLgl w:val="false"/>
      <w:suff w:val="tab"/>
      <w:lvlText w:val=""/>
      <w:lvlJc w:val="left"/>
      <w:pPr>
        <w:pStyle w:val="894"/>
      </w:pPr>
    </w:lvl>
    <w:lvl w:ilvl="4">
      <w:start w:val="0"/>
      <w:numFmt w:val="decimal"/>
      <w:isLgl w:val="false"/>
      <w:suff w:val="tab"/>
      <w:lvlText w:val=""/>
      <w:lvlJc w:val="left"/>
      <w:pPr>
        <w:pStyle w:val="894"/>
      </w:pPr>
    </w:lvl>
    <w:lvl w:ilvl="5">
      <w:start w:val="0"/>
      <w:numFmt w:val="decimal"/>
      <w:isLgl w:val="false"/>
      <w:suff w:val="tab"/>
      <w:lvlText w:val=""/>
      <w:lvlJc w:val="left"/>
      <w:pPr>
        <w:pStyle w:val="894"/>
      </w:pPr>
    </w:lvl>
    <w:lvl w:ilvl="6">
      <w:start w:val="0"/>
      <w:numFmt w:val="decimal"/>
      <w:isLgl w:val="false"/>
      <w:suff w:val="tab"/>
      <w:lvlText w:val=""/>
      <w:lvlJc w:val="left"/>
      <w:pPr>
        <w:pStyle w:val="894"/>
      </w:pPr>
    </w:lvl>
    <w:lvl w:ilvl="7">
      <w:start w:val="0"/>
      <w:numFmt w:val="decimal"/>
      <w:isLgl w:val="false"/>
      <w:suff w:val="tab"/>
      <w:lvlText w:val=""/>
      <w:lvlJc w:val="left"/>
      <w:pPr>
        <w:pStyle w:val="894"/>
      </w:pPr>
    </w:lvl>
    <w:lvl w:ilvl="8">
      <w:start w:val="0"/>
      <w:numFmt w:val="decimal"/>
      <w:isLgl w:val="false"/>
      <w:suff w:val="tab"/>
      <w:lvlText w:val=""/>
      <w:lvlJc w:val="left"/>
      <w:pPr>
        <w:pStyle w:val="894"/>
      </w:pPr>
    </w:lvl>
  </w:abstractNum>
  <w:abstractNum w:abstractNumId="5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94"/>
        <w:ind w:left="928" w:hanging="360"/>
        <w:tabs>
          <w:tab w:val="num" w:pos="928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4"/>
        <w:ind w:left="1648" w:hanging="360"/>
        <w:tabs>
          <w:tab w:val="num" w:pos="1648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4"/>
        <w:ind w:left="2368" w:hanging="180"/>
        <w:tabs>
          <w:tab w:val="num" w:pos="2368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4"/>
        <w:ind w:left="3088" w:hanging="360"/>
        <w:tabs>
          <w:tab w:val="num" w:pos="3088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4"/>
        <w:ind w:left="3808" w:hanging="360"/>
        <w:tabs>
          <w:tab w:val="num" w:pos="3808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4"/>
        <w:ind w:left="4528" w:hanging="180"/>
        <w:tabs>
          <w:tab w:val="num" w:pos="4528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4"/>
        <w:ind w:left="5248" w:hanging="360"/>
        <w:tabs>
          <w:tab w:val="num" w:pos="5248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4"/>
        <w:ind w:left="5968" w:hanging="360"/>
        <w:tabs>
          <w:tab w:val="num" w:pos="5968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4"/>
        <w:ind w:left="6688" w:hanging="180"/>
        <w:tabs>
          <w:tab w:val="num" w:pos="6688" w:leader="none"/>
        </w:tabs>
      </w:p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94"/>
      </w:pPr>
      <w:rPr>
        <w:rFonts w:ascii="Times New Roman" w:hAnsi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1">
      <w:start w:val="0"/>
      <w:numFmt w:val="decimal"/>
      <w:isLgl w:val="false"/>
      <w:suff w:val="tab"/>
      <w:lvlText w:val=""/>
      <w:lvlJc w:val="left"/>
      <w:pPr>
        <w:pStyle w:val="894"/>
      </w:pPr>
    </w:lvl>
    <w:lvl w:ilvl="2">
      <w:start w:val="0"/>
      <w:numFmt w:val="decimal"/>
      <w:isLgl w:val="false"/>
      <w:suff w:val="tab"/>
      <w:lvlText w:val=""/>
      <w:lvlJc w:val="left"/>
      <w:pPr>
        <w:pStyle w:val="894"/>
      </w:pPr>
    </w:lvl>
    <w:lvl w:ilvl="3">
      <w:start w:val="0"/>
      <w:numFmt w:val="decimal"/>
      <w:isLgl w:val="false"/>
      <w:suff w:val="tab"/>
      <w:lvlText w:val=""/>
      <w:lvlJc w:val="left"/>
      <w:pPr>
        <w:pStyle w:val="894"/>
      </w:pPr>
    </w:lvl>
    <w:lvl w:ilvl="4">
      <w:start w:val="0"/>
      <w:numFmt w:val="decimal"/>
      <w:isLgl w:val="false"/>
      <w:suff w:val="tab"/>
      <w:lvlText w:val=""/>
      <w:lvlJc w:val="left"/>
      <w:pPr>
        <w:pStyle w:val="894"/>
      </w:pPr>
    </w:lvl>
    <w:lvl w:ilvl="5">
      <w:start w:val="0"/>
      <w:numFmt w:val="decimal"/>
      <w:isLgl w:val="false"/>
      <w:suff w:val="tab"/>
      <w:lvlText w:val=""/>
      <w:lvlJc w:val="left"/>
      <w:pPr>
        <w:pStyle w:val="894"/>
      </w:pPr>
    </w:lvl>
    <w:lvl w:ilvl="6">
      <w:start w:val="0"/>
      <w:numFmt w:val="decimal"/>
      <w:isLgl w:val="false"/>
      <w:suff w:val="tab"/>
      <w:lvlText w:val=""/>
      <w:lvlJc w:val="left"/>
      <w:pPr>
        <w:pStyle w:val="894"/>
      </w:pPr>
    </w:lvl>
    <w:lvl w:ilvl="7">
      <w:start w:val="0"/>
      <w:numFmt w:val="decimal"/>
      <w:isLgl w:val="false"/>
      <w:suff w:val="tab"/>
      <w:lvlText w:val=""/>
      <w:lvlJc w:val="left"/>
      <w:pPr>
        <w:pStyle w:val="894"/>
      </w:pPr>
    </w:lvl>
    <w:lvl w:ilvl="8">
      <w:start w:val="0"/>
      <w:numFmt w:val="decimal"/>
      <w:isLgl w:val="false"/>
      <w:suff w:val="tab"/>
      <w:lvlText w:val=""/>
      <w:lvlJc w:val="left"/>
      <w:pPr>
        <w:pStyle w:val="894"/>
      </w:p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94"/>
        <w:ind w:left="720" w:hanging="360"/>
        <w:tabs>
          <w:tab w:val="num" w:pos="720" w:leader="none"/>
        </w:tabs>
      </w:pPr>
      <w:rPr>
        <w:rFonts w:ascii="Times New Roman" w:hAnsi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pStyle w:val="894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94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94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94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94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94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94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94"/>
        <w:ind w:left="6480" w:hanging="180"/>
      </w:pPr>
    </w:lvl>
  </w:abstractNum>
  <w:abstractNum w:abstractNumId="8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pStyle w:val="894"/>
        <w:ind w:left="540" w:hanging="540"/>
        <w:tabs>
          <w:tab w:val="num" w:pos="540" w:leader="none"/>
        </w:tabs>
      </w:pPr>
    </w:lvl>
    <w:lvl w:ilvl="1">
      <w:start w:val="2"/>
      <w:numFmt w:val="decimal"/>
      <w:isLgl w:val="false"/>
      <w:suff w:val="tab"/>
      <w:lvlText w:val="%1.%2."/>
      <w:lvlJc w:val="left"/>
      <w:pPr>
        <w:pStyle w:val="894"/>
        <w:ind w:left="720" w:hanging="720"/>
        <w:tabs>
          <w:tab w:val="num" w:pos="720" w:leader="none"/>
        </w:tabs>
      </w:pPr>
      <w:rPr>
        <w:b/>
      </w:rPr>
    </w:lvl>
    <w:lvl w:ilvl="2">
      <w:start w:val="1"/>
      <w:numFmt w:val="decimal"/>
      <w:isLgl w:val="false"/>
      <w:suff w:val="tab"/>
      <w:lvlText w:val="%1.%2.%3."/>
      <w:lvlJc w:val="left"/>
      <w:pPr>
        <w:pStyle w:val="894"/>
        <w:ind w:left="1080" w:hanging="1080"/>
        <w:tabs>
          <w:tab w:val="num" w:pos="108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94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94"/>
        <w:ind w:left="1440" w:hanging="1440"/>
        <w:tabs>
          <w:tab w:val="num" w:pos="144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94"/>
        <w:ind w:left="1800" w:hanging="1800"/>
        <w:tabs>
          <w:tab w:val="num" w:pos="180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94"/>
        <w:ind w:left="2160" w:hanging="2160"/>
        <w:tabs>
          <w:tab w:val="num" w:pos="216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94"/>
        <w:ind w:left="2160" w:hanging="2160"/>
        <w:tabs>
          <w:tab w:val="num" w:pos="216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94"/>
        <w:ind w:left="2520" w:hanging="2520"/>
        <w:tabs>
          <w:tab w:val="num" w:pos="2520" w:leader="none"/>
        </w:tabs>
      </w:p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94"/>
      </w:pPr>
      <w:rPr>
        <w:rFonts w:ascii="Times New Roman" w:hAnsi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1">
      <w:start w:val="0"/>
      <w:numFmt w:val="decimal"/>
      <w:isLgl w:val="false"/>
      <w:suff w:val="tab"/>
      <w:lvlText w:val=""/>
      <w:lvlJc w:val="left"/>
      <w:pPr>
        <w:pStyle w:val="894"/>
      </w:pPr>
    </w:lvl>
    <w:lvl w:ilvl="2">
      <w:start w:val="0"/>
      <w:numFmt w:val="decimal"/>
      <w:isLgl w:val="false"/>
      <w:suff w:val="tab"/>
      <w:lvlText w:val=""/>
      <w:lvlJc w:val="left"/>
      <w:pPr>
        <w:pStyle w:val="894"/>
      </w:pPr>
    </w:lvl>
    <w:lvl w:ilvl="3">
      <w:start w:val="0"/>
      <w:numFmt w:val="decimal"/>
      <w:isLgl w:val="false"/>
      <w:suff w:val="tab"/>
      <w:lvlText w:val=""/>
      <w:lvlJc w:val="left"/>
      <w:pPr>
        <w:pStyle w:val="894"/>
      </w:pPr>
    </w:lvl>
    <w:lvl w:ilvl="4">
      <w:start w:val="0"/>
      <w:numFmt w:val="decimal"/>
      <w:isLgl w:val="false"/>
      <w:suff w:val="tab"/>
      <w:lvlText w:val=""/>
      <w:lvlJc w:val="left"/>
      <w:pPr>
        <w:pStyle w:val="894"/>
      </w:pPr>
    </w:lvl>
    <w:lvl w:ilvl="5">
      <w:start w:val="0"/>
      <w:numFmt w:val="decimal"/>
      <w:isLgl w:val="false"/>
      <w:suff w:val="tab"/>
      <w:lvlText w:val=""/>
      <w:lvlJc w:val="left"/>
      <w:pPr>
        <w:pStyle w:val="894"/>
      </w:pPr>
    </w:lvl>
    <w:lvl w:ilvl="6">
      <w:start w:val="0"/>
      <w:numFmt w:val="decimal"/>
      <w:isLgl w:val="false"/>
      <w:suff w:val="tab"/>
      <w:lvlText w:val=""/>
      <w:lvlJc w:val="left"/>
      <w:pPr>
        <w:pStyle w:val="894"/>
      </w:pPr>
    </w:lvl>
    <w:lvl w:ilvl="7">
      <w:start w:val="0"/>
      <w:numFmt w:val="decimal"/>
      <w:isLgl w:val="false"/>
      <w:suff w:val="tab"/>
      <w:lvlText w:val=""/>
      <w:lvlJc w:val="left"/>
      <w:pPr>
        <w:pStyle w:val="894"/>
      </w:pPr>
    </w:lvl>
    <w:lvl w:ilvl="8">
      <w:start w:val="0"/>
      <w:numFmt w:val="decimal"/>
      <w:isLgl w:val="false"/>
      <w:suff w:val="tab"/>
      <w:lvlText w:val=""/>
      <w:lvlJc w:val="left"/>
      <w:pPr>
        <w:pStyle w:val="894"/>
      </w:pPr>
    </w:lvl>
  </w:abstractNum>
  <w:abstractNum w:abstractNumId="10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94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4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4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4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4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4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4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4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4"/>
        <w:ind w:left="6480" w:hanging="180"/>
        <w:tabs>
          <w:tab w:val="num" w:pos="6480" w:leader="none"/>
        </w:tabs>
      </w:p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94"/>
        <w:ind w:left="780" w:hanging="360"/>
        <w:tabs>
          <w:tab w:val="num" w:pos="780" w:leader="none"/>
        </w:tabs>
      </w:pPr>
      <w:rPr>
        <w:rFonts w:ascii="Times New Roman" w:hAnsi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pStyle w:val="894"/>
        <w:ind w:left="15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94"/>
        <w:ind w:left="222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94"/>
        <w:ind w:left="29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94"/>
        <w:ind w:left="36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94"/>
        <w:ind w:left="438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94"/>
        <w:ind w:left="51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94"/>
        <w:ind w:left="58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94"/>
        <w:ind w:left="6540" w:hanging="180"/>
      </w:pPr>
    </w:lvl>
  </w:abstractNum>
  <w:abstractNum w:abstractNumId="12">
    <w:multiLevelType w:val="hybridMultilevel"/>
    <w:lvl w:ilvl="0">
      <w:start w:val="7"/>
      <w:numFmt w:val="decimal"/>
      <w:isLgl w:val="false"/>
      <w:suff w:val="tab"/>
      <w:lvlText w:val="%1."/>
      <w:lvlJc w:val="left"/>
      <w:pPr>
        <w:pStyle w:val="894"/>
        <w:ind w:left="420" w:hanging="420"/>
        <w:tabs>
          <w:tab w:val="num" w:pos="42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pStyle w:val="894"/>
        <w:ind w:left="720" w:hanging="720"/>
        <w:tabs>
          <w:tab w:val="num" w:pos="72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pStyle w:val="894"/>
        <w:ind w:left="720" w:hanging="720"/>
        <w:tabs>
          <w:tab w:val="num" w:pos="72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94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94"/>
        <w:ind w:left="1080" w:hanging="1080"/>
        <w:tabs>
          <w:tab w:val="num" w:pos="108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94"/>
        <w:ind w:left="1440" w:hanging="1440"/>
        <w:tabs>
          <w:tab w:val="num" w:pos="144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94"/>
        <w:ind w:left="1800" w:hanging="1800"/>
        <w:tabs>
          <w:tab w:val="num" w:pos="180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94"/>
        <w:ind w:left="1800" w:hanging="1800"/>
        <w:tabs>
          <w:tab w:val="num" w:pos="180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94"/>
        <w:ind w:left="2160" w:hanging="2160"/>
        <w:tabs>
          <w:tab w:val="num" w:pos="2160" w:leader="none"/>
        </w:tabs>
      </w:p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94"/>
        <w:ind w:left="1069" w:hanging="360"/>
        <w:tabs>
          <w:tab w:val="num" w:pos="1069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4"/>
        <w:ind w:left="1789" w:hanging="360"/>
        <w:tabs>
          <w:tab w:val="num" w:pos="1789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4"/>
        <w:ind w:left="2509" w:hanging="180"/>
        <w:tabs>
          <w:tab w:val="num" w:pos="2509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4"/>
        <w:ind w:left="3229" w:hanging="360"/>
        <w:tabs>
          <w:tab w:val="num" w:pos="3229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4"/>
        <w:ind w:left="3949" w:hanging="360"/>
        <w:tabs>
          <w:tab w:val="num" w:pos="3949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4"/>
        <w:ind w:left="4669" w:hanging="180"/>
        <w:tabs>
          <w:tab w:val="num" w:pos="4669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4"/>
        <w:ind w:left="5389" w:hanging="360"/>
        <w:tabs>
          <w:tab w:val="num" w:pos="5389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4"/>
        <w:ind w:left="6109" w:hanging="360"/>
        <w:tabs>
          <w:tab w:val="num" w:pos="6109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4"/>
        <w:ind w:left="6829" w:hanging="180"/>
        <w:tabs>
          <w:tab w:val="num" w:pos="6829" w:leader="none"/>
        </w:tabs>
      </w:p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94"/>
        <w:ind w:left="720" w:hanging="360"/>
        <w:tabs>
          <w:tab w:val="num" w:pos="72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</w:abstractNum>
  <w:abstractNum w:abstractNumId="15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94"/>
      </w:pPr>
      <w:rPr>
        <w:rFonts w:ascii="Times New Roman" w:hAnsi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1">
      <w:start w:val="0"/>
      <w:numFmt w:val="decimal"/>
      <w:isLgl w:val="false"/>
      <w:suff w:val="tab"/>
      <w:lvlText w:val=""/>
      <w:lvlJc w:val="left"/>
      <w:pPr>
        <w:pStyle w:val="894"/>
      </w:pPr>
    </w:lvl>
    <w:lvl w:ilvl="2">
      <w:start w:val="0"/>
      <w:numFmt w:val="decimal"/>
      <w:isLgl w:val="false"/>
      <w:suff w:val="tab"/>
      <w:lvlText w:val=""/>
      <w:lvlJc w:val="left"/>
      <w:pPr>
        <w:pStyle w:val="894"/>
      </w:pPr>
    </w:lvl>
    <w:lvl w:ilvl="3">
      <w:start w:val="0"/>
      <w:numFmt w:val="decimal"/>
      <w:isLgl w:val="false"/>
      <w:suff w:val="tab"/>
      <w:lvlText w:val=""/>
      <w:lvlJc w:val="left"/>
      <w:pPr>
        <w:pStyle w:val="894"/>
      </w:pPr>
    </w:lvl>
    <w:lvl w:ilvl="4">
      <w:start w:val="0"/>
      <w:numFmt w:val="decimal"/>
      <w:isLgl w:val="false"/>
      <w:suff w:val="tab"/>
      <w:lvlText w:val=""/>
      <w:lvlJc w:val="left"/>
      <w:pPr>
        <w:pStyle w:val="894"/>
      </w:pPr>
    </w:lvl>
    <w:lvl w:ilvl="5">
      <w:start w:val="0"/>
      <w:numFmt w:val="decimal"/>
      <w:isLgl w:val="false"/>
      <w:suff w:val="tab"/>
      <w:lvlText w:val=""/>
      <w:lvlJc w:val="left"/>
      <w:pPr>
        <w:pStyle w:val="894"/>
      </w:pPr>
    </w:lvl>
    <w:lvl w:ilvl="6">
      <w:start w:val="0"/>
      <w:numFmt w:val="decimal"/>
      <w:isLgl w:val="false"/>
      <w:suff w:val="tab"/>
      <w:lvlText w:val=""/>
      <w:lvlJc w:val="left"/>
      <w:pPr>
        <w:pStyle w:val="894"/>
      </w:pPr>
    </w:lvl>
    <w:lvl w:ilvl="7">
      <w:start w:val="0"/>
      <w:numFmt w:val="decimal"/>
      <w:isLgl w:val="false"/>
      <w:suff w:val="tab"/>
      <w:lvlText w:val=""/>
      <w:lvlJc w:val="left"/>
      <w:pPr>
        <w:pStyle w:val="894"/>
      </w:pPr>
    </w:lvl>
    <w:lvl w:ilvl="8">
      <w:start w:val="0"/>
      <w:numFmt w:val="decimal"/>
      <w:isLgl w:val="false"/>
      <w:suff w:val="tab"/>
      <w:lvlText w:val=""/>
      <w:lvlJc w:val="left"/>
      <w:pPr>
        <w:pStyle w:val="894"/>
      </w:pPr>
    </w:lvl>
  </w:abstractNum>
  <w:abstractNum w:abstractNumId="16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pStyle w:val="894"/>
      </w:pPr>
      <w:rPr>
        <w:rFonts w:ascii="Times New Roman" w:hAnsi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1">
      <w:start w:val="0"/>
      <w:numFmt w:val="decimal"/>
      <w:isLgl w:val="false"/>
      <w:suff w:val="tab"/>
      <w:lvlText w:val=""/>
      <w:lvlJc w:val="left"/>
      <w:pPr>
        <w:pStyle w:val="894"/>
      </w:pPr>
    </w:lvl>
    <w:lvl w:ilvl="2">
      <w:start w:val="0"/>
      <w:numFmt w:val="decimal"/>
      <w:isLgl w:val="false"/>
      <w:suff w:val="tab"/>
      <w:lvlText w:val=""/>
      <w:lvlJc w:val="left"/>
      <w:pPr>
        <w:pStyle w:val="894"/>
      </w:pPr>
    </w:lvl>
    <w:lvl w:ilvl="3">
      <w:start w:val="0"/>
      <w:numFmt w:val="decimal"/>
      <w:isLgl w:val="false"/>
      <w:suff w:val="tab"/>
      <w:lvlText w:val=""/>
      <w:lvlJc w:val="left"/>
      <w:pPr>
        <w:pStyle w:val="894"/>
      </w:pPr>
    </w:lvl>
    <w:lvl w:ilvl="4">
      <w:start w:val="0"/>
      <w:numFmt w:val="decimal"/>
      <w:isLgl w:val="false"/>
      <w:suff w:val="tab"/>
      <w:lvlText w:val=""/>
      <w:lvlJc w:val="left"/>
      <w:pPr>
        <w:pStyle w:val="894"/>
      </w:pPr>
    </w:lvl>
    <w:lvl w:ilvl="5">
      <w:start w:val="0"/>
      <w:numFmt w:val="decimal"/>
      <w:isLgl w:val="false"/>
      <w:suff w:val="tab"/>
      <w:lvlText w:val=""/>
      <w:lvlJc w:val="left"/>
      <w:pPr>
        <w:pStyle w:val="894"/>
      </w:pPr>
    </w:lvl>
    <w:lvl w:ilvl="6">
      <w:start w:val="0"/>
      <w:numFmt w:val="decimal"/>
      <w:isLgl w:val="false"/>
      <w:suff w:val="tab"/>
      <w:lvlText w:val=""/>
      <w:lvlJc w:val="left"/>
      <w:pPr>
        <w:pStyle w:val="894"/>
      </w:pPr>
    </w:lvl>
    <w:lvl w:ilvl="7">
      <w:start w:val="0"/>
      <w:numFmt w:val="decimal"/>
      <w:isLgl w:val="false"/>
      <w:suff w:val="tab"/>
      <w:lvlText w:val=""/>
      <w:lvlJc w:val="left"/>
      <w:pPr>
        <w:pStyle w:val="894"/>
      </w:pPr>
    </w:lvl>
    <w:lvl w:ilvl="8">
      <w:start w:val="0"/>
      <w:numFmt w:val="decimal"/>
      <w:isLgl w:val="false"/>
      <w:suff w:val="tab"/>
      <w:lvlText w:val=""/>
      <w:lvlJc w:val="left"/>
      <w:pPr>
        <w:pStyle w:val="894"/>
      </w:pPr>
    </w:lvl>
  </w:abstractNum>
  <w:abstractNum w:abstractNumId="17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pStyle w:val="894"/>
        <w:ind w:left="1070" w:hanging="360"/>
        <w:tabs>
          <w:tab w:val="num" w:pos="107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4"/>
        <w:ind w:left="1790" w:hanging="360"/>
        <w:tabs>
          <w:tab w:val="num" w:pos="179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4"/>
        <w:ind w:left="2510" w:hanging="180"/>
        <w:tabs>
          <w:tab w:val="num" w:pos="251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4"/>
        <w:ind w:left="3230" w:hanging="360"/>
        <w:tabs>
          <w:tab w:val="num" w:pos="323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4"/>
        <w:ind w:left="3950" w:hanging="360"/>
        <w:tabs>
          <w:tab w:val="num" w:pos="395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4"/>
        <w:ind w:left="4670" w:hanging="180"/>
        <w:tabs>
          <w:tab w:val="num" w:pos="467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4"/>
        <w:ind w:left="5390" w:hanging="360"/>
        <w:tabs>
          <w:tab w:val="num" w:pos="539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4"/>
        <w:ind w:left="6110" w:hanging="360"/>
        <w:tabs>
          <w:tab w:val="num" w:pos="611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4"/>
        <w:ind w:left="6830" w:hanging="180"/>
        <w:tabs>
          <w:tab w:val="num" w:pos="6830" w:leader="none"/>
        </w:tabs>
      </w:pPr>
    </w:lvl>
  </w:abstractNum>
  <w:abstractNum w:abstractNumId="1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94"/>
        <w:ind w:left="1070" w:hanging="360"/>
        <w:tabs>
          <w:tab w:val="num" w:pos="107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</w:abstractNum>
  <w:abstractNum w:abstractNumId="19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94"/>
      </w:pPr>
      <w:rPr>
        <w:rFonts w:ascii="Times New Roman" w:hAnsi="Times New Roman" w:eastAsia="Times New Roman"/>
        <w:b w:val="false"/>
        <w:i w:val="false"/>
        <w:smallCaps w:val="false"/>
        <w:strike w:val="false"/>
        <w:color w:val="000000"/>
        <w:spacing w:val="0"/>
        <w:position w:val="0"/>
        <w:sz w:val="17"/>
        <w:u w:val="none"/>
      </w:rPr>
    </w:lvl>
    <w:lvl w:ilvl="1">
      <w:start w:val="0"/>
      <w:numFmt w:val="decimal"/>
      <w:isLgl w:val="false"/>
      <w:suff w:val="tab"/>
      <w:lvlText w:val=""/>
      <w:lvlJc w:val="left"/>
      <w:pPr>
        <w:pStyle w:val="894"/>
      </w:pPr>
    </w:lvl>
    <w:lvl w:ilvl="2">
      <w:start w:val="0"/>
      <w:numFmt w:val="decimal"/>
      <w:isLgl w:val="false"/>
      <w:suff w:val="tab"/>
      <w:lvlText w:val=""/>
      <w:lvlJc w:val="left"/>
      <w:pPr>
        <w:pStyle w:val="894"/>
      </w:pPr>
    </w:lvl>
    <w:lvl w:ilvl="3">
      <w:start w:val="0"/>
      <w:numFmt w:val="decimal"/>
      <w:isLgl w:val="false"/>
      <w:suff w:val="tab"/>
      <w:lvlText w:val=""/>
      <w:lvlJc w:val="left"/>
      <w:pPr>
        <w:pStyle w:val="894"/>
      </w:pPr>
    </w:lvl>
    <w:lvl w:ilvl="4">
      <w:start w:val="0"/>
      <w:numFmt w:val="decimal"/>
      <w:isLgl w:val="false"/>
      <w:suff w:val="tab"/>
      <w:lvlText w:val=""/>
      <w:lvlJc w:val="left"/>
      <w:pPr>
        <w:pStyle w:val="894"/>
      </w:pPr>
    </w:lvl>
    <w:lvl w:ilvl="5">
      <w:start w:val="0"/>
      <w:numFmt w:val="decimal"/>
      <w:isLgl w:val="false"/>
      <w:suff w:val="tab"/>
      <w:lvlText w:val=""/>
      <w:lvlJc w:val="left"/>
      <w:pPr>
        <w:pStyle w:val="894"/>
      </w:pPr>
    </w:lvl>
    <w:lvl w:ilvl="6">
      <w:start w:val="0"/>
      <w:numFmt w:val="decimal"/>
      <w:isLgl w:val="false"/>
      <w:suff w:val="tab"/>
      <w:lvlText w:val=""/>
      <w:lvlJc w:val="left"/>
      <w:pPr>
        <w:pStyle w:val="894"/>
      </w:pPr>
    </w:lvl>
    <w:lvl w:ilvl="7">
      <w:start w:val="0"/>
      <w:numFmt w:val="decimal"/>
      <w:isLgl w:val="false"/>
      <w:suff w:val="tab"/>
      <w:lvlText w:val=""/>
      <w:lvlJc w:val="left"/>
      <w:pPr>
        <w:pStyle w:val="894"/>
      </w:pPr>
    </w:lvl>
    <w:lvl w:ilvl="8">
      <w:start w:val="0"/>
      <w:numFmt w:val="decimal"/>
      <w:isLgl w:val="false"/>
      <w:suff w:val="tab"/>
      <w:lvlText w:val=""/>
      <w:lvlJc w:val="left"/>
      <w:pPr>
        <w:pStyle w:val="894"/>
      </w:pPr>
    </w:lvl>
  </w:abstractNum>
  <w:abstractNum w:abstractNumId="20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94"/>
      </w:pPr>
      <w:rPr>
        <w:rFonts w:ascii="Times New Roman" w:hAnsi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1">
      <w:start w:val="0"/>
      <w:numFmt w:val="decimal"/>
      <w:isLgl w:val="false"/>
      <w:suff w:val="tab"/>
      <w:lvlText w:val=""/>
      <w:lvlJc w:val="left"/>
      <w:pPr>
        <w:pStyle w:val="894"/>
      </w:pPr>
    </w:lvl>
    <w:lvl w:ilvl="2">
      <w:start w:val="0"/>
      <w:numFmt w:val="decimal"/>
      <w:isLgl w:val="false"/>
      <w:suff w:val="tab"/>
      <w:lvlText w:val=""/>
      <w:lvlJc w:val="left"/>
      <w:pPr>
        <w:pStyle w:val="894"/>
      </w:pPr>
    </w:lvl>
    <w:lvl w:ilvl="3">
      <w:start w:val="0"/>
      <w:numFmt w:val="decimal"/>
      <w:isLgl w:val="false"/>
      <w:suff w:val="tab"/>
      <w:lvlText w:val=""/>
      <w:lvlJc w:val="left"/>
      <w:pPr>
        <w:pStyle w:val="894"/>
      </w:pPr>
    </w:lvl>
    <w:lvl w:ilvl="4">
      <w:start w:val="0"/>
      <w:numFmt w:val="decimal"/>
      <w:isLgl w:val="false"/>
      <w:suff w:val="tab"/>
      <w:lvlText w:val=""/>
      <w:lvlJc w:val="left"/>
      <w:pPr>
        <w:pStyle w:val="894"/>
      </w:pPr>
    </w:lvl>
    <w:lvl w:ilvl="5">
      <w:start w:val="0"/>
      <w:numFmt w:val="decimal"/>
      <w:isLgl w:val="false"/>
      <w:suff w:val="tab"/>
      <w:lvlText w:val=""/>
      <w:lvlJc w:val="left"/>
      <w:pPr>
        <w:pStyle w:val="894"/>
      </w:pPr>
    </w:lvl>
    <w:lvl w:ilvl="6">
      <w:start w:val="0"/>
      <w:numFmt w:val="decimal"/>
      <w:isLgl w:val="false"/>
      <w:suff w:val="tab"/>
      <w:lvlText w:val=""/>
      <w:lvlJc w:val="left"/>
      <w:pPr>
        <w:pStyle w:val="894"/>
      </w:pPr>
    </w:lvl>
    <w:lvl w:ilvl="7">
      <w:start w:val="0"/>
      <w:numFmt w:val="decimal"/>
      <w:isLgl w:val="false"/>
      <w:suff w:val="tab"/>
      <w:lvlText w:val=""/>
      <w:lvlJc w:val="left"/>
      <w:pPr>
        <w:pStyle w:val="894"/>
      </w:pPr>
    </w:lvl>
    <w:lvl w:ilvl="8">
      <w:start w:val="0"/>
      <w:numFmt w:val="decimal"/>
      <w:isLgl w:val="false"/>
      <w:suff w:val="tab"/>
      <w:lvlText w:val=""/>
      <w:lvlJc w:val="left"/>
      <w:pPr>
        <w:pStyle w:val="894"/>
      </w:pPr>
    </w:lvl>
  </w:abstractNum>
  <w:num w:numId="1">
    <w:abstractNumId w:val="5"/>
  </w:num>
  <w:num w:numId="2">
    <w:abstractNumId w:val="17"/>
  </w:num>
  <w:num w:numId="3">
    <w:abstractNumId w:val="18"/>
  </w:num>
  <w:num w:numId="4">
    <w:abstractNumId w:val="1"/>
  </w:num>
  <w:num w:numId="5">
    <w:abstractNumId w:val="13"/>
  </w:num>
  <w:num w:numId="6">
    <w:abstractNumId w:val="3"/>
  </w:num>
  <w:num w:numId="7">
    <w:abstractNumId w:val="14"/>
  </w:num>
  <w:num w:numId="8">
    <w:abstractNumId w:val="8"/>
  </w:num>
  <w:num w:numId="9">
    <w:abstractNumId w:val="12"/>
  </w:num>
  <w:num w:numId="1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 w:numId="14">
    <w:abstractNumId w:val="11"/>
  </w:num>
  <w:num w:numId="15">
    <w:abstractNumId w:val="7"/>
  </w:num>
  <w:num w:numId="16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94"/>
        </w:pPr>
        <w:rPr>
          <w:rFonts w:ascii="Times New Roman" w:hAnsi="Times New Roman"/>
        </w:rPr>
      </w:lvl>
    </w:lvlOverride>
  </w:num>
  <w:num w:numId="17">
    <w:abstractNumId w:val="19"/>
  </w:num>
  <w:num w:numId="18">
    <w:abstractNumId w:val="15"/>
  </w:num>
  <w:num w:numId="19">
    <w:abstractNumId w:val="20"/>
  </w:num>
  <w:num w:numId="20">
    <w:abstractNumId w:val="6"/>
  </w:num>
  <w:num w:numId="21">
    <w:abstractNumId w:val="9"/>
  </w:num>
  <w:num w:numId="22">
    <w:abstractNumId w:val="2"/>
  </w:num>
  <w:num w:numId="23">
    <w:abstractNumId w:val="4"/>
  </w:num>
  <w:num w:numId="24">
    <w:abstractNumId w:val="16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20"/>
  <m:mathPr/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bidi="ar-SA" w:eastAsia="zh-C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17">
    <w:name w:val="Heading 1"/>
    <w:link w:val="718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718">
    <w:name w:val="Heading 1 Char"/>
    <w:link w:val="717"/>
    <w:uiPriority w:val="9"/>
    <w:rPr>
      <w:rFonts w:ascii="Arial" w:hAnsi="Arial" w:cs="Arial" w:eastAsia="Arial"/>
      <w:sz w:val="40"/>
      <w:szCs w:val="40"/>
    </w:rPr>
  </w:style>
  <w:style w:type="paragraph" w:styleId="719">
    <w:name w:val="Heading 2"/>
    <w:link w:val="720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720">
    <w:name w:val="Heading 2 Char"/>
    <w:link w:val="719"/>
    <w:uiPriority w:val="9"/>
    <w:rPr>
      <w:rFonts w:ascii="Arial" w:hAnsi="Arial" w:cs="Arial" w:eastAsia="Arial"/>
      <w:sz w:val="34"/>
    </w:rPr>
  </w:style>
  <w:style w:type="paragraph" w:styleId="721">
    <w:name w:val="Heading 3"/>
    <w:link w:val="722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722">
    <w:name w:val="Heading 3 Char"/>
    <w:link w:val="721"/>
    <w:uiPriority w:val="9"/>
    <w:rPr>
      <w:rFonts w:ascii="Arial" w:hAnsi="Arial" w:cs="Arial" w:eastAsia="Arial"/>
      <w:sz w:val="30"/>
      <w:szCs w:val="30"/>
    </w:rPr>
  </w:style>
  <w:style w:type="paragraph" w:styleId="723">
    <w:name w:val="Heading 4"/>
    <w:link w:val="724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724">
    <w:name w:val="Heading 4 Char"/>
    <w:link w:val="723"/>
    <w:uiPriority w:val="9"/>
    <w:rPr>
      <w:rFonts w:ascii="Arial" w:hAnsi="Arial" w:cs="Arial" w:eastAsia="Arial"/>
      <w:b/>
      <w:bCs/>
      <w:sz w:val="26"/>
      <w:szCs w:val="26"/>
    </w:rPr>
  </w:style>
  <w:style w:type="paragraph" w:styleId="725">
    <w:name w:val="Heading 5"/>
    <w:link w:val="726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726">
    <w:name w:val="Heading 5 Char"/>
    <w:link w:val="725"/>
    <w:uiPriority w:val="9"/>
    <w:rPr>
      <w:rFonts w:ascii="Arial" w:hAnsi="Arial" w:cs="Arial" w:eastAsia="Arial"/>
      <w:b/>
      <w:bCs/>
      <w:sz w:val="24"/>
      <w:szCs w:val="24"/>
    </w:rPr>
  </w:style>
  <w:style w:type="paragraph" w:styleId="727">
    <w:name w:val="Heading 6"/>
    <w:link w:val="728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728">
    <w:name w:val="Heading 6 Char"/>
    <w:link w:val="727"/>
    <w:uiPriority w:val="9"/>
    <w:rPr>
      <w:rFonts w:ascii="Arial" w:hAnsi="Arial" w:cs="Arial" w:eastAsia="Arial"/>
      <w:b/>
      <w:bCs/>
      <w:sz w:val="22"/>
      <w:szCs w:val="22"/>
    </w:rPr>
  </w:style>
  <w:style w:type="paragraph" w:styleId="729">
    <w:name w:val="Heading 7"/>
    <w:link w:val="730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730">
    <w:name w:val="Heading 7 Char"/>
    <w:link w:val="729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731">
    <w:name w:val="Heading 8"/>
    <w:link w:val="732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732">
    <w:name w:val="Heading 8 Char"/>
    <w:link w:val="731"/>
    <w:uiPriority w:val="9"/>
    <w:rPr>
      <w:rFonts w:ascii="Arial" w:hAnsi="Arial" w:cs="Arial" w:eastAsia="Arial"/>
      <w:i/>
      <w:iCs/>
      <w:sz w:val="22"/>
      <w:szCs w:val="22"/>
    </w:rPr>
  </w:style>
  <w:style w:type="paragraph" w:styleId="733">
    <w:name w:val="Heading 9"/>
    <w:link w:val="734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734">
    <w:name w:val="Heading 9 Char"/>
    <w:link w:val="733"/>
    <w:uiPriority w:val="9"/>
    <w:rPr>
      <w:rFonts w:ascii="Arial" w:hAnsi="Arial" w:cs="Arial" w:eastAsia="Arial"/>
      <w:i/>
      <w:iCs/>
      <w:sz w:val="21"/>
      <w:szCs w:val="21"/>
    </w:rPr>
  </w:style>
  <w:style w:type="paragraph" w:styleId="735">
    <w:name w:val="List Paragraph"/>
    <w:qFormat/>
    <w:uiPriority w:val="34"/>
    <w:pPr>
      <w:contextualSpacing w:val="true"/>
      <w:ind w:left="720"/>
    </w:pPr>
  </w:style>
  <w:style w:type="paragraph" w:styleId="736">
    <w:name w:val="Title"/>
    <w:link w:val="737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737">
    <w:name w:val="Title Char"/>
    <w:link w:val="736"/>
    <w:uiPriority w:val="10"/>
    <w:rPr>
      <w:sz w:val="48"/>
      <w:szCs w:val="48"/>
    </w:rPr>
  </w:style>
  <w:style w:type="paragraph" w:styleId="738">
    <w:name w:val="Subtitle"/>
    <w:link w:val="739"/>
    <w:qFormat/>
    <w:uiPriority w:val="11"/>
    <w:rPr>
      <w:sz w:val="24"/>
      <w:szCs w:val="24"/>
    </w:rPr>
    <w:pPr>
      <w:spacing w:after="200" w:before="200"/>
    </w:pPr>
  </w:style>
  <w:style w:type="character" w:styleId="739">
    <w:name w:val="Subtitle Char"/>
    <w:link w:val="738"/>
    <w:uiPriority w:val="11"/>
    <w:rPr>
      <w:sz w:val="24"/>
      <w:szCs w:val="24"/>
    </w:rPr>
  </w:style>
  <w:style w:type="paragraph" w:styleId="740">
    <w:name w:val="Quote"/>
    <w:link w:val="741"/>
    <w:qFormat/>
    <w:uiPriority w:val="29"/>
    <w:rPr>
      <w:i/>
    </w:rPr>
    <w:pPr>
      <w:ind w:left="720" w:right="720"/>
    </w:pPr>
  </w:style>
  <w:style w:type="character" w:styleId="741">
    <w:name w:val="Quote Char"/>
    <w:link w:val="740"/>
    <w:uiPriority w:val="29"/>
    <w:rPr>
      <w:i/>
    </w:rPr>
  </w:style>
  <w:style w:type="paragraph" w:styleId="742">
    <w:name w:val="Intense Quote"/>
    <w:link w:val="743"/>
    <w:qFormat/>
    <w:uiPriority w:val="30"/>
    <w:rPr>
      <w:i/>
    </w:rPr>
    <w:pPr>
      <w:contextualSpacing w:val="false"/>
      <w:ind w:left="720" w:right="720"/>
      <w:shd w:val="clear" w:fill="F2F2F2" w:color="auto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743">
    <w:name w:val="Intense Quote Char"/>
    <w:link w:val="742"/>
    <w:uiPriority w:val="30"/>
    <w:rPr>
      <w:i/>
    </w:rPr>
  </w:style>
  <w:style w:type="paragraph" w:styleId="744">
    <w:name w:val="Header"/>
    <w:link w:val="745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45">
    <w:name w:val="Header Char"/>
    <w:link w:val="744"/>
    <w:uiPriority w:val="99"/>
  </w:style>
  <w:style w:type="paragraph" w:styleId="746">
    <w:name w:val="Footer"/>
    <w:link w:val="749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47">
    <w:name w:val="Footer Char"/>
    <w:link w:val="746"/>
    <w:uiPriority w:val="99"/>
  </w:style>
  <w:style w:type="paragraph" w:styleId="748">
    <w:name w:val="Caption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749">
    <w:name w:val="Caption Char"/>
    <w:basedOn w:val="748"/>
    <w:link w:val="746"/>
    <w:uiPriority w:val="99"/>
  </w:style>
  <w:style w:type="table" w:styleId="750">
    <w:name w:val="Table Grid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51">
    <w:name w:val="Table Grid Light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52">
    <w:name w:val="Plain Table 1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3">
    <w:name w:val="Plain Table 2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4">
    <w:name w:val="Plain Table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55">
    <w:name w:val="Plain Table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6">
    <w:name w:val="Plain Table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757">
    <w:name w:val="Grid Table 1 Light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Grid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Grid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Grid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Grid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Grid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Grid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Grid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765">
    <w:name w:val="Grid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766">
    <w:name w:val="Grid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67">
    <w:name w:val="Grid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68">
    <w:name w:val="Grid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69">
    <w:name w:val="Grid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70">
    <w:name w:val="Grid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71">
    <w:name w:val="Grid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2">
    <w:name w:val="Grid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3">
    <w:name w:val="Grid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4">
    <w:name w:val="Grid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5">
    <w:name w:val="Grid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6">
    <w:name w:val="Grid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7">
    <w:name w:val="Grid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8">
    <w:name w:val="Grid Table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79">
    <w:name w:val="Grid Table 4 - Accent 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FillTint="EA" w:themeColor="accent1" w:theme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780">
    <w:name w:val="Grid Table 4 - Accent 2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781">
    <w:name w:val="Grid Table 4 - Accent 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FE" w:themeColor="accent3" w:theme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782">
    <w:name w:val="Grid Table 4 - Accent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783">
    <w:name w:val="Grid Table 4 - Accent 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784">
    <w:name w:val="Grid Table 4 - Accent 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785">
    <w:name w:val="Grid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text1" w:themeFillTint="40" w:themeColor="text1" w:themeTint="40"/>
    </w:tblPr>
    <w:tblStylePr w:type="band1Horz">
      <w:tcPr>
        <w:shd w:val="clear" w:color="FFFFFF" w:themeFill="text1" w:themeFillTint="75" w:themeColor="text1" w:themeTint="75"/>
      </w:tcPr>
    </w:tblStylePr>
    <w:tblStylePr w:type="band1Vert">
      <w:tcPr>
        <w:shd w:val="clear" w:color="FFFFFF" w:themeFill="text1" w:themeFillTint="75" w:themeColor="tex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top w:val="single" w:color="000000" w:sz="4" w:space="0" w:themeColor="light1"/>
        </w:tcBorders>
      </w:tcPr>
    </w:tblStylePr>
  </w:style>
  <w:style w:type="table" w:styleId="786">
    <w:name w:val="Grid Table 5 Dark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1" w:themeFillTint="34" w:themeColor="accent1" w:themeTint="34"/>
    </w:tblPr>
    <w:tblStylePr w:type="band1Horz">
      <w:tcPr>
        <w:shd w:val="clear" w:color="FFFFFF" w:themeFill="accent1" w:themeFillTint="75" w:themeColor="accent1" w:themeTint="75"/>
      </w:tcPr>
    </w:tblStylePr>
    <w:tblStylePr w:type="band1Vert">
      <w:tcPr>
        <w:shd w:val="clear" w:color="FFFFFF" w:themeFill="accent1" w:themeFillTint="75" w:themeColor="accen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1" w:themeColor="accent1"/>
        <w:tcBorders>
          <w:top w:val="single" w:color="000000" w:sz="4" w:space="0" w:themeColor="light1"/>
        </w:tcBorders>
      </w:tcPr>
    </w:tblStylePr>
  </w:style>
  <w:style w:type="table" w:styleId="787">
    <w:name w:val="Grid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2" w:themeFillTint="32" w:themeColor="accent2" w:themeTint="32"/>
    </w:tblPr>
    <w:tblStylePr w:type="band1Horz">
      <w:tcPr>
        <w:shd w:val="clear" w:color="FFFFFF" w:themeFill="accent2" w:themeFillTint="75" w:themeColor="accent2" w:themeTint="75"/>
      </w:tcPr>
    </w:tblStylePr>
    <w:tblStylePr w:type="band1Vert">
      <w:tcPr>
        <w:shd w:val="clear" w:color="FFFFFF" w:themeFill="accent2" w:themeFillTint="75" w:themeColor="accent2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2" w:themeColor="accent2"/>
        <w:tcBorders>
          <w:top w:val="single" w:color="000000" w:sz="4" w:space="0" w:themeColor="light1"/>
        </w:tcBorders>
      </w:tcPr>
    </w:tblStylePr>
  </w:style>
  <w:style w:type="table" w:styleId="788">
    <w:name w:val="Grid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3" w:themeFillTint="34" w:themeColor="accent3" w:themeTint="34"/>
    </w:tblPr>
    <w:tblStylePr w:type="band1Horz">
      <w:tcPr>
        <w:shd w:val="clear" w:color="FFFFFF" w:themeFill="accent3" w:themeFillTint="75" w:themeColor="accent3" w:themeTint="75"/>
      </w:tcPr>
    </w:tblStylePr>
    <w:tblStylePr w:type="band1Vert">
      <w:tcPr>
        <w:shd w:val="clear" w:color="FFFFFF" w:themeFill="accent3" w:themeFillTint="75" w:themeColor="accent3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3" w:themeColor="accent3"/>
        <w:tcBorders>
          <w:top w:val="single" w:color="000000" w:sz="4" w:space="0" w:themeColor="light1"/>
        </w:tcBorders>
      </w:tcPr>
    </w:tblStylePr>
  </w:style>
  <w:style w:type="table" w:styleId="789">
    <w:name w:val="Grid Table 5 Dark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4" w:themeFillTint="34" w:themeColor="accent4" w:themeTint="34"/>
    </w:tblPr>
    <w:tblStylePr w:type="band1Horz">
      <w:tcPr>
        <w:shd w:val="clear" w:color="FFFFFF" w:themeFill="accent4" w:themeFillTint="75" w:themeColor="accent4" w:themeTint="75"/>
      </w:tcPr>
    </w:tblStylePr>
    <w:tblStylePr w:type="band1Vert">
      <w:tcPr>
        <w:shd w:val="clear" w:color="FFFFFF" w:themeFill="accent4" w:themeFillTint="75" w:themeColor="accent4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4" w:themeColor="accent4"/>
        <w:tcBorders>
          <w:top w:val="single" w:color="000000" w:sz="4" w:space="0" w:themeColor="light1"/>
        </w:tcBorders>
      </w:tcPr>
    </w:tblStylePr>
  </w:style>
  <w:style w:type="table" w:styleId="790">
    <w:name w:val="Grid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5" w:themeFillTint="34" w:themeColor="accent5" w:themeTint="34"/>
    </w:tblPr>
    <w:tblStylePr w:type="band1Horz">
      <w:tcPr>
        <w:shd w:val="clear" w:color="FFFFFF" w:themeFill="accent5" w:themeFillTint="75" w:themeColor="accent5" w:themeTint="75"/>
      </w:tcPr>
    </w:tblStylePr>
    <w:tblStylePr w:type="band1Vert">
      <w:tcPr>
        <w:shd w:val="clear" w:color="FFFFFF" w:themeFill="accent5" w:themeFillTint="75" w:themeColor="accent5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top w:val="single" w:color="000000" w:sz="4" w:space="0" w:themeColor="light1"/>
        </w:tcBorders>
      </w:tcPr>
    </w:tblStylePr>
  </w:style>
  <w:style w:type="table" w:styleId="791">
    <w:name w:val="Grid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6" w:themeFillTint="34" w:themeColor="accent6" w:themeTint="34"/>
    </w:tblPr>
    <w:tblStylePr w:type="band1Horz">
      <w:tcPr>
        <w:shd w:val="clear" w:color="FFFFFF" w:themeFill="accent6" w:themeFillTint="75" w:themeColor="accent6" w:themeTint="75"/>
      </w:tcPr>
    </w:tblStylePr>
    <w:tblStylePr w:type="band1Vert">
      <w:tcPr>
        <w:shd w:val="clear" w:color="FFFFFF" w:themeFill="accent6" w:themeFillTint="75" w:themeColor="accent6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top w:val="single" w:color="000000" w:sz="4" w:space="0" w:themeColor="light1"/>
        </w:tcBorders>
      </w:tcPr>
    </w:tblStylePr>
  </w:style>
  <w:style w:type="table" w:styleId="792">
    <w:name w:val="Grid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Fill="text1" w:themeFillTint="34" w:themeColor="text1" w:themeTint="34"/>
      </w:tcPr>
    </w:tblStylePr>
    <w:tblStylePr w:type="band1Vert">
      <w:tcPr>
        <w:shd w:val="clear" w:color="FFFFFF" w:themeFill="text1" w:themeFillTint="34" w:themeColor="text1" w:theme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93">
    <w:name w:val="Grid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94">
    <w:name w:val="Grid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95">
    <w:name w:val="Grid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96">
    <w:name w:val="Grid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97">
    <w:name w:val="Grid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8">
    <w:name w:val="Grid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9">
    <w:name w:val="Grid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800">
    <w:name w:val="Grid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801">
    <w:name w:val="Grid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802">
    <w:name w:val="Grid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803">
    <w:name w:val="Grid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804">
    <w:name w:val="Grid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805">
    <w:name w:val="Grid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806">
    <w:name w:val="List Table 1 Light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807">
    <w:name w:val="List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808">
    <w:name w:val="List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809">
    <w:name w:val="List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810">
    <w:name w:val="List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811">
    <w:name w:val="List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812">
    <w:name w:val="List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813">
    <w:name w:val="List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814">
    <w:name w:val="List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815">
    <w:name w:val="List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816">
    <w:name w:val="List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817">
    <w:name w:val="List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818">
    <w:name w:val="List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819">
    <w:name w:val="List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820">
    <w:name w:val="List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>
    <w:name w:val="List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>
    <w:name w:val="List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3">
    <w:name w:val="List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98" w:themeColor="accent3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4">
    <w:name w:val="List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5">
    <w:name w:val="List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FillTint="9A" w:themeColor="accent5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6">
    <w:name w:val="List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FillTint="98" w:themeColor="accent6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7">
    <w:name w:val="List Table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8">
    <w:name w:val="List Table 4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9">
    <w:name w:val="List Table 4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0">
    <w:name w:val="List Table 4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1">
    <w:name w:val="List Table 4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2">
    <w:name w:val="List Table 4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3">
    <w:name w:val="List Table 4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4">
    <w:name w:val="List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FFFFFF" w:themeFill="text1" w:themeFillTint="80" w:themeColor="text1" w:themeTint="80"/>
    </w:tblPr>
    <w:tblStylePr w:type="band1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text1" w:themeFillTint="80" w:themeColor="text1" w:theme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text1" w:themeFillTint="80" w:themeColor="text1" w:theme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5">
    <w:name w:val="List Table 5 Dark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FFFFFF" w:themeFill="accent1" w:themeColor="accent1"/>
    </w:tblPr>
    <w:tblStylePr w:type="band1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1" w:themeColor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1" w:themeColor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6">
    <w:name w:val="List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FFFFFF" w:themeFill="accent2" w:themeFillTint="97" w:themeColor="accent2" w:themeTint="97"/>
    </w:tblPr>
    <w:tblStylePr w:type="band1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2" w:themeFillTint="97" w:themeColor="accent2" w:theme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2" w:themeFillTint="97" w:themeColor="accent2" w:theme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7">
    <w:name w:val="List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FFFFFF" w:themeFill="accent3" w:themeFillTint="98" w:themeColor="accent3" w:themeTint="98"/>
    </w:tblPr>
    <w:tblStylePr w:type="band1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3" w:themeFillTint="98" w:themeColor="accent3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3" w:themeFillTint="98" w:themeColor="accent3" w:theme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8">
    <w:name w:val="List Table 5 Dark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FFFFFF" w:themeFill="accent4" w:themeFillTint="9A" w:themeColor="accent4" w:themeTint="9A"/>
    </w:tblPr>
    <w:tblStylePr w:type="band1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4" w:themeFillTint="9A" w:themeColor="accent4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4" w:themeFillTint="9A" w:themeColor="accent4" w:theme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9">
    <w:name w:val="List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FFFFFF" w:themeFill="accent5" w:themeFillTint="9A" w:themeColor="accent5" w:themeTint="9A"/>
    </w:tblPr>
    <w:tblStylePr w:type="band1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5" w:themeFillTint="9A" w:themeColor="accent5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5" w:themeFillTint="9A" w:themeColor="accent5" w:theme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0">
    <w:name w:val="List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FFFFFF" w:themeFill="accent6" w:themeFillTint="98" w:themeColor="accent6" w:themeTint="98"/>
    </w:tblPr>
    <w:tblStylePr w:type="band1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6" w:themeFillTint="98" w:themeColor="accent6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6" w:themeFillTint="98" w:themeColor="accent6" w:theme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1">
    <w:name w:val="List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842">
    <w:name w:val="List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843">
    <w:name w:val="List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844">
    <w:name w:val="List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845">
    <w:name w:val="List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846">
    <w:name w:val="List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847">
    <w:name w:val="List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848">
    <w:name w:val="List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49">
    <w:name w:val="List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50">
    <w:name w:val="List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51">
    <w:name w:val="List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52">
    <w:name w:val="List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53">
    <w:name w:val="List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54">
    <w:name w:val="List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55">
    <w:name w:val="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56">
    <w:name w:val="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57">
    <w:name w:val="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58">
    <w:name w:val="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59">
    <w:name w:val="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60">
    <w:name w:val="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61">
    <w:name w:val="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62">
    <w:name w:val="Bordered &amp; 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63">
    <w:name w:val="Bordered &amp; 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64">
    <w:name w:val="Bordered &amp; 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65">
    <w:name w:val="Bordered &amp; 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66">
    <w:name w:val="Bordered &amp; 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67">
    <w:name w:val="Bordered &amp; 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68">
    <w:name w:val="Bordered &amp; 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69">
    <w:name w:val="Bordered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870">
    <w:name w:val="Bordered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871">
    <w:name w:val="Bordered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872">
    <w:name w:val="Bordered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873">
    <w:name w:val="Bordered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874">
    <w:name w:val="Bordered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875">
    <w:name w:val="Bordered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876">
    <w:name w:val="Hyperlink"/>
    <w:uiPriority w:val="99"/>
    <w:unhideWhenUsed/>
    <w:rPr>
      <w:color w:val="0000FF" w:themeColor="hyperlink"/>
      <w:u w:val="single"/>
    </w:rPr>
  </w:style>
  <w:style w:type="paragraph" w:styleId="877">
    <w:name w:val="footnote text"/>
    <w:link w:val="878"/>
    <w:uiPriority w:val="99"/>
    <w:semiHidden/>
    <w:unhideWhenUsed/>
    <w:rPr>
      <w:sz w:val="18"/>
    </w:rPr>
    <w:pPr>
      <w:spacing w:lineRule="auto" w:line="240" w:after="40"/>
    </w:pPr>
  </w:style>
  <w:style w:type="character" w:styleId="878">
    <w:name w:val="Footnote Text Char"/>
    <w:link w:val="877"/>
    <w:uiPriority w:val="99"/>
    <w:rPr>
      <w:sz w:val="18"/>
    </w:rPr>
  </w:style>
  <w:style w:type="character" w:styleId="879">
    <w:name w:val="footnote reference"/>
    <w:uiPriority w:val="99"/>
    <w:unhideWhenUsed/>
    <w:rPr>
      <w:vertAlign w:val="superscript"/>
    </w:rPr>
  </w:style>
  <w:style w:type="paragraph" w:styleId="880">
    <w:name w:val="endnote text"/>
    <w:link w:val="881"/>
    <w:uiPriority w:val="99"/>
    <w:semiHidden/>
    <w:unhideWhenUsed/>
    <w:rPr>
      <w:sz w:val="20"/>
    </w:rPr>
    <w:pPr>
      <w:spacing w:lineRule="auto" w:line="240" w:after="0"/>
    </w:pPr>
  </w:style>
  <w:style w:type="character" w:styleId="881">
    <w:name w:val="Endnote Text Char"/>
    <w:link w:val="880"/>
    <w:uiPriority w:val="99"/>
    <w:rPr>
      <w:sz w:val="20"/>
    </w:rPr>
  </w:style>
  <w:style w:type="character" w:styleId="882">
    <w:name w:val="endnote reference"/>
    <w:uiPriority w:val="99"/>
    <w:semiHidden/>
    <w:unhideWhenUsed/>
    <w:rPr>
      <w:vertAlign w:val="superscript"/>
    </w:rPr>
  </w:style>
  <w:style w:type="paragraph" w:styleId="883">
    <w:name w:val="toc 1"/>
    <w:uiPriority w:val="39"/>
    <w:unhideWhenUsed/>
    <w:pPr>
      <w:ind w:left="0" w:right="0" w:firstLine="0"/>
      <w:spacing w:after="57"/>
    </w:pPr>
  </w:style>
  <w:style w:type="paragraph" w:styleId="884">
    <w:name w:val="toc 2"/>
    <w:uiPriority w:val="39"/>
    <w:unhideWhenUsed/>
    <w:pPr>
      <w:ind w:left="283" w:right="0" w:firstLine="0"/>
      <w:spacing w:after="57"/>
    </w:pPr>
  </w:style>
  <w:style w:type="paragraph" w:styleId="885">
    <w:name w:val="toc 3"/>
    <w:uiPriority w:val="39"/>
    <w:unhideWhenUsed/>
    <w:pPr>
      <w:ind w:left="567" w:right="0" w:firstLine="0"/>
      <w:spacing w:after="57"/>
    </w:pPr>
  </w:style>
  <w:style w:type="paragraph" w:styleId="886">
    <w:name w:val="toc 4"/>
    <w:uiPriority w:val="39"/>
    <w:unhideWhenUsed/>
    <w:pPr>
      <w:ind w:left="850" w:right="0" w:firstLine="0"/>
      <w:spacing w:after="57"/>
    </w:pPr>
  </w:style>
  <w:style w:type="paragraph" w:styleId="887">
    <w:name w:val="toc 5"/>
    <w:uiPriority w:val="39"/>
    <w:unhideWhenUsed/>
    <w:pPr>
      <w:ind w:left="1134" w:right="0" w:firstLine="0"/>
      <w:spacing w:after="57"/>
    </w:pPr>
  </w:style>
  <w:style w:type="paragraph" w:styleId="888">
    <w:name w:val="toc 6"/>
    <w:uiPriority w:val="39"/>
    <w:unhideWhenUsed/>
    <w:pPr>
      <w:ind w:left="1417" w:right="0" w:firstLine="0"/>
      <w:spacing w:after="57"/>
    </w:pPr>
  </w:style>
  <w:style w:type="paragraph" w:styleId="889">
    <w:name w:val="toc 7"/>
    <w:uiPriority w:val="39"/>
    <w:unhideWhenUsed/>
    <w:pPr>
      <w:ind w:left="1701" w:right="0" w:firstLine="0"/>
      <w:spacing w:after="57"/>
    </w:pPr>
  </w:style>
  <w:style w:type="paragraph" w:styleId="890">
    <w:name w:val="toc 8"/>
    <w:uiPriority w:val="39"/>
    <w:unhideWhenUsed/>
    <w:pPr>
      <w:ind w:left="1984" w:right="0" w:firstLine="0"/>
      <w:spacing w:after="57"/>
    </w:pPr>
  </w:style>
  <w:style w:type="paragraph" w:styleId="891">
    <w:name w:val="toc 9"/>
    <w:uiPriority w:val="39"/>
    <w:unhideWhenUsed/>
    <w:pPr>
      <w:ind w:left="2268" w:right="0" w:firstLine="0"/>
      <w:spacing w:after="57"/>
    </w:pPr>
  </w:style>
  <w:style w:type="paragraph" w:styleId="892">
    <w:name w:val="TOC Heading"/>
    <w:uiPriority w:val="39"/>
    <w:unhideWhenUsed/>
  </w:style>
  <w:style w:type="paragraph" w:styleId="893">
    <w:name w:val="table of figures"/>
    <w:uiPriority w:val="99"/>
    <w:unhideWhenUsed/>
    <w:pPr>
      <w:spacing w:after="0" w:afterAutospacing="0"/>
    </w:pPr>
  </w:style>
  <w:style w:type="paragraph" w:styleId="894">
    <w:name w:val="Обычный"/>
    <w:next w:val="894"/>
    <w:link w:val="894"/>
    <w:rPr>
      <w:lang w:val="ru-RU" w:bidi="ar-SA" w:eastAsia="ru-RU"/>
    </w:rPr>
    <w:pPr>
      <w:widowControl w:val="off"/>
    </w:pPr>
  </w:style>
  <w:style w:type="character" w:styleId="895">
    <w:name w:val="Основной шрифт абзаца"/>
    <w:next w:val="895"/>
    <w:link w:val="894"/>
    <w:semiHidden/>
  </w:style>
  <w:style w:type="table" w:styleId="896">
    <w:name w:val="Обычная таблица"/>
    <w:next w:val="896"/>
    <w:link w:val="894"/>
    <w:semiHidden/>
    <w:tblPr/>
  </w:style>
  <w:style w:type="numbering" w:styleId="897">
    <w:name w:val="Нет списка"/>
    <w:next w:val="897"/>
    <w:link w:val="894"/>
    <w:semiHidden/>
  </w:style>
  <w:style w:type="paragraph" w:styleId="898">
    <w:name w:val="Текст выноски"/>
    <w:basedOn w:val="894"/>
    <w:next w:val="898"/>
    <w:link w:val="894"/>
    <w:semiHidden/>
    <w:rPr>
      <w:rFonts w:ascii="Tahoma" w:hAnsi="Tahoma"/>
      <w:sz w:val="16"/>
      <w:szCs w:val="16"/>
    </w:rPr>
  </w:style>
  <w:style w:type="paragraph" w:styleId="899">
    <w:name w:val="Верхний колонтитул"/>
    <w:basedOn w:val="894"/>
    <w:next w:val="899"/>
    <w:link w:val="910"/>
    <w:pPr>
      <w:tabs>
        <w:tab w:val="center" w:pos="4677" w:leader="none"/>
        <w:tab w:val="right" w:pos="9355" w:leader="none"/>
      </w:tabs>
    </w:pPr>
  </w:style>
  <w:style w:type="character" w:styleId="900">
    <w:name w:val="Номер страницы"/>
    <w:basedOn w:val="895"/>
    <w:next w:val="900"/>
    <w:link w:val="894"/>
  </w:style>
  <w:style w:type="table" w:styleId="901">
    <w:name w:val="Сетка таблицы"/>
    <w:basedOn w:val="896"/>
    <w:next w:val="901"/>
    <w:link w:val="894"/>
    <w:tblPr/>
  </w:style>
  <w:style w:type="paragraph" w:styleId="902">
    <w:name w:val="ConsPlusNormal"/>
    <w:next w:val="902"/>
    <w:link w:val="904"/>
    <w:rPr>
      <w:rFonts w:ascii="Arial" w:hAnsi="Arial"/>
      <w:lang w:val="ru-RU" w:bidi="ar-SA" w:eastAsia="ru-RU"/>
    </w:rPr>
    <w:pPr>
      <w:ind w:firstLine="720"/>
      <w:widowControl w:val="off"/>
    </w:pPr>
  </w:style>
  <w:style w:type="paragraph" w:styleId="903">
    <w:name w:val="ConsPlusNonformat"/>
    <w:next w:val="903"/>
    <w:link w:val="894"/>
    <w:rPr>
      <w:rFonts w:ascii="Courier New" w:hAnsi="Courier New"/>
      <w:lang w:val="ru-RU" w:bidi="ar-SA" w:eastAsia="ru-RU"/>
    </w:rPr>
    <w:pPr>
      <w:widowControl w:val="off"/>
    </w:pPr>
  </w:style>
  <w:style w:type="character" w:styleId="904">
    <w:name w:val="ConsPlusNormal Знак"/>
    <w:next w:val="904"/>
    <w:link w:val="902"/>
    <w:rPr>
      <w:rFonts w:ascii="Arial" w:hAnsi="Arial"/>
      <w:lang w:val="ru-RU" w:bidi="ar-SA" w:eastAsia="ru-RU"/>
    </w:rPr>
  </w:style>
  <w:style w:type="paragraph" w:styleId="905">
    <w:name w:val="Название"/>
    <w:basedOn w:val="894"/>
    <w:next w:val="905"/>
    <w:link w:val="894"/>
    <w:rPr>
      <w:b/>
      <w:sz w:val="32"/>
    </w:rPr>
    <w:pPr>
      <w:jc w:val="center"/>
      <w:widowControl/>
    </w:pPr>
  </w:style>
  <w:style w:type="paragraph" w:styleId="906">
    <w:name w:val="Основной текст 3"/>
    <w:basedOn w:val="894"/>
    <w:next w:val="906"/>
    <w:link w:val="894"/>
    <w:rPr>
      <w:sz w:val="16"/>
      <w:szCs w:val="16"/>
    </w:rPr>
    <w:pPr>
      <w:spacing w:after="120"/>
      <w:widowControl/>
    </w:pPr>
  </w:style>
  <w:style w:type="character" w:styleId="907">
    <w:name w:val="Гиперссылка"/>
    <w:next w:val="907"/>
    <w:link w:val="894"/>
    <w:rPr>
      <w:color w:val="0000FF"/>
      <w:u w:val="single"/>
    </w:rPr>
  </w:style>
  <w:style w:type="paragraph" w:styleId="908">
    <w:name w:val="Обычный (веб)"/>
    <w:basedOn w:val="894"/>
    <w:next w:val="908"/>
    <w:link w:val="894"/>
    <w:rPr>
      <w:color w:val="000000"/>
      <w:sz w:val="24"/>
      <w:szCs w:val="24"/>
    </w:rPr>
    <w:pPr>
      <w:spacing w:after="115" w:before="100" w:beforeAutospacing="1"/>
      <w:widowControl/>
    </w:pPr>
  </w:style>
  <w:style w:type="paragraph" w:styleId="909">
    <w:name w:val="western"/>
    <w:basedOn w:val="894"/>
    <w:next w:val="909"/>
    <w:link w:val="894"/>
    <w:rPr>
      <w:color w:val="000000"/>
      <w:sz w:val="24"/>
      <w:szCs w:val="24"/>
    </w:rPr>
    <w:pPr>
      <w:spacing w:after="115" w:before="100" w:beforeAutospacing="1"/>
      <w:widowControl/>
    </w:pPr>
  </w:style>
  <w:style w:type="character" w:styleId="910">
    <w:name w:val="Верхний колонтитул Знак"/>
    <w:next w:val="910"/>
    <w:link w:val="899"/>
    <w:rPr>
      <w:lang w:val="ru-RU" w:bidi="ar-SA" w:eastAsia="ru-RU"/>
    </w:rPr>
  </w:style>
  <w:style w:type="paragraph" w:styleId="911">
    <w:name w:val="Нижний колонтитул"/>
    <w:basedOn w:val="894"/>
    <w:next w:val="911"/>
    <w:link w:val="912"/>
    <w:rPr>
      <w:sz w:val="28"/>
    </w:rPr>
    <w:pPr>
      <w:widowControl/>
      <w:tabs>
        <w:tab w:val="center" w:pos="4677" w:leader="none"/>
        <w:tab w:val="right" w:pos="9355" w:leader="none"/>
      </w:tabs>
    </w:pPr>
  </w:style>
  <w:style w:type="character" w:styleId="912">
    <w:name w:val="Нижний колонтитул Знак"/>
    <w:next w:val="912"/>
    <w:link w:val="911"/>
    <w:rPr>
      <w:sz w:val="28"/>
      <w:lang w:val="ru-RU" w:bidi="ar-SA" w:eastAsia="ru-RU"/>
    </w:rPr>
  </w:style>
  <w:style w:type="paragraph" w:styleId="913">
    <w:name w:val="Основной текст"/>
    <w:basedOn w:val="894"/>
    <w:next w:val="913"/>
    <w:link w:val="894"/>
    <w:pPr>
      <w:spacing w:after="120"/>
    </w:pPr>
  </w:style>
  <w:style w:type="paragraph" w:styleId="914">
    <w:name w:val="Основной текст с отступом"/>
    <w:basedOn w:val="894"/>
    <w:next w:val="914"/>
    <w:link w:val="894"/>
    <w:pPr>
      <w:ind w:left="283"/>
      <w:spacing w:after="120"/>
    </w:pPr>
  </w:style>
  <w:style w:type="paragraph" w:styleId="915">
    <w:name w:val="Основной текст с отступом 3"/>
    <w:basedOn w:val="894"/>
    <w:next w:val="915"/>
    <w:link w:val="894"/>
    <w:rPr>
      <w:sz w:val="16"/>
      <w:szCs w:val="16"/>
    </w:rPr>
    <w:pPr>
      <w:ind w:left="283"/>
      <w:spacing w:after="120"/>
    </w:pPr>
  </w:style>
  <w:style w:type="paragraph" w:styleId="916">
    <w:name w:val="ConsNonformat"/>
    <w:next w:val="916"/>
    <w:link w:val="894"/>
    <w:rPr>
      <w:rFonts w:ascii="Courier New" w:hAnsi="Courier New"/>
      <w:lang w:val="ru-RU" w:bidi="ar-SA" w:eastAsia="ru-RU"/>
    </w:rPr>
    <w:pPr>
      <w:ind w:right="19772"/>
      <w:widowControl w:val="off"/>
    </w:pPr>
  </w:style>
  <w:style w:type="paragraph" w:styleId="917">
    <w:name w:val="ConsNormal"/>
    <w:next w:val="917"/>
    <w:link w:val="894"/>
    <w:rPr>
      <w:rFonts w:ascii="Arial" w:hAnsi="Arial"/>
      <w:lang w:val="ru-RU" w:bidi="ar-SA" w:eastAsia="ru-RU"/>
    </w:rPr>
    <w:pPr>
      <w:ind w:right="19772" w:firstLine="720"/>
      <w:widowControl w:val="off"/>
    </w:pPr>
  </w:style>
  <w:style w:type="paragraph" w:styleId="918">
    <w:name w:val="Таблицы (моноширинный)"/>
    <w:basedOn w:val="894"/>
    <w:next w:val="894"/>
    <w:link w:val="894"/>
    <w:rPr>
      <w:rFonts w:ascii="Courier New" w:hAnsi="Courier New"/>
    </w:rPr>
    <w:pPr>
      <w:jc w:val="both"/>
    </w:pPr>
  </w:style>
  <w:style w:type="character" w:styleId="919">
    <w:name w:val="Основной текст2"/>
    <w:next w:val="919"/>
    <w:link w:val="894"/>
    <w:rPr>
      <w:rFonts w:ascii="Times New Roman" w:hAnsi="Times New Roman" w:eastAsia="Times New Roman"/>
      <w:color w:val="000000"/>
      <w:spacing w:val="0"/>
      <w:position w:val="0"/>
      <w:sz w:val="27"/>
      <w:szCs w:val="27"/>
      <w:shd w:val="clear" w:fill="FFFFFF" w:color="auto"/>
      <w:lang w:val="ru-RU"/>
    </w:rPr>
  </w:style>
  <w:style w:type="paragraph" w:styleId="920">
    <w:name w:val="Абзац списка2"/>
    <w:basedOn w:val="894"/>
    <w:next w:val="920"/>
    <w:link w:val="894"/>
    <w:rPr>
      <w:rFonts w:ascii="Calibri" w:hAnsi="Calibri" w:eastAsia="Gulim"/>
      <w:sz w:val="22"/>
      <w:szCs w:val="22"/>
      <w:lang w:eastAsia="en-US"/>
    </w:rPr>
    <w:pPr>
      <w:ind w:left="720"/>
      <w:spacing w:lineRule="auto" w:line="276" w:after="200"/>
      <w:widowControl/>
    </w:pPr>
  </w:style>
  <w:style w:type="paragraph" w:styleId="921">
    <w:name w:val="No Spacing"/>
    <w:next w:val="921"/>
    <w:link w:val="894"/>
    <w:rPr>
      <w:rFonts w:ascii="Calibri" w:hAnsi="Calibri"/>
      <w:sz w:val="22"/>
      <w:szCs w:val="22"/>
      <w:lang w:val="ru-RU" w:bidi="ar-SA" w:eastAsia="ru-RU"/>
    </w:rPr>
  </w:style>
  <w:style w:type="character" w:styleId="922">
    <w:name w:val="Font Style48"/>
    <w:next w:val="922"/>
    <w:link w:val="894"/>
    <w:rPr>
      <w:rFonts w:ascii="Times New Roman" w:hAnsi="Times New Roman"/>
      <w:b/>
      <w:bCs/>
      <w:sz w:val="26"/>
      <w:szCs w:val="26"/>
    </w:rPr>
  </w:style>
  <w:style w:type="character" w:styleId="923">
    <w:name w:val="Font Style49"/>
    <w:next w:val="923"/>
    <w:link w:val="894"/>
    <w:rPr>
      <w:rFonts w:ascii="Times New Roman" w:hAnsi="Times New Roman"/>
      <w:sz w:val="26"/>
      <w:szCs w:val="26"/>
    </w:rPr>
  </w:style>
  <w:style w:type="character" w:styleId="924">
    <w:name w:val="Font Style30"/>
    <w:next w:val="924"/>
    <w:link w:val="894"/>
    <w:rPr>
      <w:rFonts w:ascii="Times New Roman" w:hAnsi="Times New Roman"/>
      <w:sz w:val="22"/>
      <w:szCs w:val="22"/>
    </w:rPr>
  </w:style>
  <w:style w:type="character" w:styleId="925">
    <w:name w:val="Font Style29"/>
    <w:next w:val="925"/>
    <w:link w:val="894"/>
    <w:rPr>
      <w:rFonts w:ascii="Times New Roman" w:hAnsi="Times New Roman"/>
      <w:b/>
      <w:bCs/>
      <w:sz w:val="22"/>
      <w:szCs w:val="22"/>
    </w:rPr>
  </w:style>
  <w:style w:type="character" w:styleId="926" w:default="1">
    <w:name w:val="Default Paragraph Font"/>
    <w:uiPriority w:val="1"/>
    <w:semiHidden/>
    <w:unhideWhenUsed/>
  </w:style>
  <w:style w:type="numbering" w:styleId="927" w:default="1">
    <w:name w:val="No List"/>
    <w:uiPriority w:val="99"/>
    <w:semiHidden/>
    <w:unhideWhenUsed/>
  </w:style>
  <w:style w:type="paragraph" w:styleId="928" w:default="1">
    <w:name w:val="Normal"/>
    <w:qFormat/>
  </w:style>
  <w:style w:type="table" w:styleId="929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Р7-Офис/6.4.2.28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26</cp:revision>
  <dcterms:modified xsi:type="dcterms:W3CDTF">2025-04-29T10:22:40Z</dcterms:modified>
</cp:coreProperties>
</file>