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Оскольской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</w:t>
      </w:r>
      <w:r>
        <w:rPr>
          <w:rFonts w:ascii="Times New Roman" w:hAnsi="Times New Roman"/>
          <w:sz w:val="24"/>
          <w:szCs w:val="24"/>
        </w:rPr>
        <w:t xml:space="preserve">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Оскольской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2025-04-29T10:27:17Z</dcterms:modified>
</cp:coreProperties>
</file>