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6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6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6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6"/>
        <w:ind w:firstLine="709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6"/>
          <w:sz w:val="24"/>
          <w:szCs w:val="24"/>
        </w:rPr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  <w:spacing w:before="100" w:beforeAutospacing="1"/>
      </w:pPr>
      <w:r/>
      <w:r/>
    </w:p>
    <w:p>
      <w:pPr>
        <w:pStyle w:val="896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5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paragraph" w:styleId="930" w:default="1">
    <w:name w:val="Normal"/>
    <w:qFormat/>
  </w:style>
  <w:style w:type="table" w:styleId="93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2025-04-29T09:05:07Z</dcterms:modified>
</cp:coreProperties>
</file>