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0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0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90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6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муниципального округа</w:t>
      </w:r>
      <w:r>
        <w:rPr>
          <w:sz w:val="24"/>
          <w:szCs w:val="24"/>
        </w:rPr>
        <w:t xml:space="preserve">.</w:t>
      </w:r>
      <w:r>
        <w:t xml:space="preserve"> 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6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906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906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3091"/>
        <w:gridCol w:w="6096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3091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9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9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3091" w:type="dxa"/>
            <w:vAlign w:val="top"/>
            <w:textDirection w:val="lrTb"/>
            <w:noWrap w:val="false"/>
          </w:tcPr>
          <w:p>
            <w:pPr>
              <w:pStyle w:val="906"/>
              <w:jc w:val="both"/>
            </w:pPr>
            <w:r>
              <w:rPr>
                <w:color w:val="000000"/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4"/>
              </w:rPr>
              <w:t xml:space="preserve">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096" w:type="dxa"/>
            <w:vAlign w:val="top"/>
            <w:textDirection w:val="lrTb"/>
            <w:noWrap w:val="false"/>
          </w:tcPr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8"/>
              </w:rPr>
              <w:t xml:space="preserve">Наличие высшего профессионального образования без предъявления требований к стажу.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</w:t>
            </w:r>
            <w:r/>
          </w:p>
          <w:p>
            <w:pPr>
              <w:pStyle w:val="906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906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90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90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906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3"/>
        <w:gridCol w:w="3118"/>
        <w:gridCol w:w="6096"/>
      </w:tblGrid>
      <w:tr>
        <w:trPr/>
        <w:tc>
          <w:tcPr>
            <w:tcW w:w="533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533" w:type="dxa"/>
            <w:vAlign w:val="top"/>
            <w:textDirection w:val="lrTb"/>
            <w:noWrap w:val="false"/>
          </w:tcPr>
          <w:p>
            <w:pPr>
              <w:pStyle w:val="9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6"/>
              <w:jc w:val="both"/>
            </w:pPr>
            <w:r>
              <w:rPr>
                <w:color w:val="000000"/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4"/>
              </w:rPr>
              <w:t xml:space="preserve">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6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top"/>
            <w:textDirection w:val="lrTb"/>
            <w:noWrap w:val="false"/>
          </w:tcPr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знание Конституции Российской Федерации,  Устава </w:t>
            </w:r>
            <w:r>
              <w:rPr>
                <w:sz w:val="24"/>
                <w:szCs w:val="25"/>
              </w:rPr>
              <w:t xml:space="preserve">Новооскольского муниципального округа</w:t>
            </w:r>
            <w:r>
              <w:rPr>
                <w:sz w:val="24"/>
                <w:szCs w:val="25"/>
              </w:rPr>
              <w:t xml:space="preserve">, основ федерального и областного законодательства о муниципальной службе;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знания в области информационно-коммуникационных технологий (далее – ИКТ): аппаратного и программного об</w:t>
            </w:r>
            <w:r>
              <w:rPr>
                <w:sz w:val="24"/>
                <w:szCs w:val="25"/>
              </w:rPr>
              <w:t xml:space="preserve">еспечения, возможностей и особенностей применения, современных ИКТ в органах местного самоуправления городского округа,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5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способность логически верно, аргументировано и ясно строить устную и письменную речь,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533" w:type="dxa"/>
            <w:vAlign w:val="top"/>
            <w:textDirection w:val="lrTb"/>
            <w:noWrap w:val="false"/>
          </w:tcPr>
          <w:p>
            <w:pPr>
              <w:pStyle w:val="9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096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533" w:type="dxa"/>
            <w:vAlign w:val="top"/>
            <w:textDirection w:val="lrTb"/>
            <w:noWrap w:val="false"/>
          </w:tcPr>
          <w:p>
            <w:pPr>
              <w:pStyle w:val="9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6"/>
              <w:jc w:val="both"/>
            </w:pPr>
            <w:r>
              <w:rPr>
                <w:color w:val="000000"/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4"/>
              </w:rPr>
              <w:t xml:space="preserve">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6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top"/>
            <w:textDirection w:val="lrTb"/>
            <w:noWrap w:val="false"/>
          </w:tcPr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</w:t>
            </w:r>
            <w:r>
              <w:rPr>
                <w:sz w:val="24"/>
                <w:szCs w:val="25"/>
              </w:rPr>
              <w:t xml:space="preserve"> принимать решения, рассматривать ряд вариантов, в случае очевидных последствий нести ответственность за результат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стремление </w:t>
            </w:r>
            <w:r>
              <w:rPr>
                <w:sz w:val="24"/>
                <w:szCs w:val="25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способность </w:t>
            </w:r>
            <w:r>
              <w:rPr>
                <w:sz w:val="24"/>
                <w:szCs w:val="25"/>
              </w:rPr>
              <w:t xml:space="preserve">контроля и оценки результатов деятельности подчиненных в стандартных ситуациях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следование социальным стандартам и требованиям служебной этики;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видение разных факторов, влияющих на ситуацию, структурированный подход к решению проблем, нахождение взаимосвязей между элементами в стандартных ситуациях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</w:t>
            </w:r>
            <w:r>
              <w:rPr>
                <w:sz w:val="24"/>
                <w:szCs w:val="25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готовность нести ответственность за свои решения и решения своих подчиненных;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проводить совещания, убеждать, управлять поведением людей в конфликтных ситуациях; владение навыками публичного выступления перед собраниями.</w:t>
            </w:r>
            <w:r>
              <w:rPr>
                <w:sz w:val="24"/>
              </w:rPr>
            </w:r>
            <w:r/>
          </w:p>
          <w:p>
            <w:r/>
            <w:r/>
          </w:p>
        </w:tc>
      </w:tr>
    </w:tbl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Обеспечивает представление необходимых  документов на регистрацию вновь открываемых предприятий торговли и общественного питания  на территории округа.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Осуществляет подготовку к  согласованию и  утверждению графиков работы предприятий торговли и общественного питания на  весенне-летний и осенне-зимний период.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Согласовывает обязательные ассортиментные перечни товаров для предприятий розничной торговой сети.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Осуществляет мониторинг  за наличием  обязательных ассортиментных перечней, режимов работы и правил оказания  услуг общественного питания.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Обеспечивает продление  книг отзывов и предложений на текущий год для  предприятий торговли и общественного питания.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Ежеквартально готовит информацию о состоянии  торговли и бытового обслуживания района.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Рассматривает материалы департаментов, письма граждан по вопросам отрасли, готовить по ним заключения, ответы, устные разъяснения.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Подготавливает ежемесячные отчеты о работе единых общественных приемных по вопросам малого бизнеса и защите прав потребителей и об обращениях субъектов малого предпринимательства по вопросам, связанным с нарушением их прав.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</w:t>
      </w:r>
      <w:r>
        <w:rPr>
          <w:rFonts w:ascii="Times New Roman" w:hAnsi="Times New Roman"/>
          <w:sz w:val="24"/>
          <w:szCs w:val="28"/>
        </w:rPr>
        <w:t xml:space="preserve"> - Предоставление ежеквартального отчета о мерах, принимаемых по недопущению фактов реализации несовершеннолетним алкогольной продукции, пива и табачных изделий.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Предоставление еженедельного отчета о выявленных правонарушениях на рынке алкогольной продукции.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Проведение информационно - просветительской работы в сфере защиты прав потребителей.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Осуществление контроля за внешним и внутренним состоянием предприятий потребительского рынка.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Подготовка проектов постановлений, распоряжений, оформление поручений главы администрации Новооскольского  муниципального округа, писем по поручению начальника отдела.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           - Осуществляет  защиту законных прав и интересов потребителей с целью предотвращения нарушений законодательства о защите прав потребителей на потребительском рынке товаров (услуг, работ).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        - Оказывает консультативно - методическую и инф</w:t>
      </w:r>
      <w:r>
        <w:rPr>
          <w:rFonts w:ascii="Times New Roman" w:hAnsi="Times New Roman"/>
          <w:sz w:val="24"/>
          <w:szCs w:val="28"/>
        </w:rPr>
        <w:t xml:space="preserve">орма</w:t>
      </w:r>
      <w:r>
        <w:rPr>
          <w:rFonts w:ascii="Times New Roman" w:hAnsi="Times New Roman"/>
          <w:sz w:val="24"/>
          <w:szCs w:val="28"/>
        </w:rPr>
        <w:t xml:space="preserve">ционную помощь предприятиям потребительского рынка, индивидуальным предпринимателям и населению Новооскольского муниципального округа по вопросам применения норм и правил, регулирующих деятельность в сфере потребительского рынка и защиты прав потребителей.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-</w:t>
      </w:r>
      <w:r>
        <w:rPr>
          <w:rFonts w:ascii="Times New Roman" w:hAnsi="Times New Roman"/>
          <w:sz w:val="24"/>
          <w:szCs w:val="28"/>
        </w:rPr>
        <w:t xml:space="preserve"> Рассматривает обращения, заявления и жалобы граждан по вопросам, входящим в компетенцию отдела.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- Осуществляет мониторинг соблюдения предприятиями торговли, общественного питания и бытовог</w:t>
      </w:r>
      <w:r>
        <w:rPr>
          <w:rFonts w:ascii="Times New Roman" w:hAnsi="Times New Roman"/>
          <w:sz w:val="24"/>
          <w:szCs w:val="28"/>
        </w:rPr>
        <w:t xml:space="preserve">о обслуживания населения правил продажи отдельных видов товаров, Правил оказания услуг общественного питания, Правил бытового обслуживания населения в Российской Федерации, а также наличия в торговой сети городского округа социально значимых групп товаров.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</w:t>
      </w:r>
      <w:r>
        <w:rPr>
          <w:rFonts w:ascii="Times New Roman" w:hAnsi="Times New Roman"/>
          <w:sz w:val="24"/>
          <w:szCs w:val="28"/>
        </w:rPr>
        <w:t xml:space="preserve">    </w:t>
      </w:r>
      <w:r>
        <w:rPr>
          <w:rFonts w:ascii="Times New Roman" w:hAnsi="Times New Roman"/>
          <w:sz w:val="24"/>
          <w:szCs w:val="28"/>
        </w:rPr>
        <w:t xml:space="preserve">  - Осуществляет мониторинг  выполнения нормативных актов Губернатора и Правительства Белгородской области, главы администрации Новооскольского муниципального округа, касающиеся предприятий торговли, общественного питания и бытового обслуживания населения.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ab/>
        <w:t xml:space="preserve">- Осуществляет разработку проектов постановлений, распоряжений, оформление поручений главы администрации Новооскольского муниципального округа, писем, относящихся к компетенции отдела.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ab/>
        <w:t xml:space="preserve">- Уведомляет заинтересованных лиц через СМИ об изменениях в законодательстве по регулированию деятельности предприятий потребительского рынка и защиты прав потребителей.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ab/>
        <w:t xml:space="preserve">- Предоставляет информацию для  учета расположения хозяйствующих субъектов сфер розничной и оптовой торговли, общественного питания всех форм собственности на территории Новооскольского муниципального округа.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Эффективность  профессиональной  служебной  деятельности  по  вакантной должности оценивается по следующим показателям:</w:t>
      </w:r>
      <w:r/>
    </w:p>
    <w:p>
      <w:pPr>
        <w:pStyle w:val="906"/>
        <w:ind w:firstLine="567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1. Результативность профессиональной служебной деятельно</w:t>
      </w:r>
      <w:r>
        <w:rPr>
          <w:sz w:val="24"/>
          <w:szCs w:val="24"/>
        </w:rPr>
        <w:t xml:space="preserve">сти муниципального слу</w:t>
      </w:r>
      <w:r>
        <w:rPr>
          <w:sz w:val="24"/>
          <w:szCs w:val="24"/>
        </w:rPr>
        <w:t xml:space="preserve">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муниципального округа.</w:t>
      </w:r>
      <w:r>
        <w:rPr>
          <w:sz w:val="28"/>
          <w:szCs w:val="28"/>
        </w:rPr>
      </w:r>
      <w:r/>
    </w:p>
    <w:p>
      <w:pPr>
        <w:pStyle w:val="906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</w:t>
      </w:r>
      <w:r>
        <w:rPr>
          <w:sz w:val="24"/>
          <w:szCs w:val="24"/>
        </w:rPr>
        <w:t xml:space="preserve">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4"/>
          <w:sz w:val="24"/>
          <w:szCs w:val="24"/>
        </w:rPr>
      </w:pPr>
      <w:r>
        <w:rPr>
          <w:rStyle w:val="935"/>
          <w:b w:val="false"/>
          <w:sz w:val="24"/>
          <w:szCs w:val="24"/>
        </w:rPr>
        <w:t xml:space="preserve">2.1. Объем </w:t>
      </w:r>
      <w:r>
        <w:rPr>
          <w:rStyle w:val="936"/>
          <w:bCs/>
          <w:sz w:val="24"/>
          <w:szCs w:val="24"/>
        </w:rPr>
        <w:t xml:space="preserve">выполненных работ </w:t>
      </w:r>
      <w:r>
        <w:rPr>
          <w:rStyle w:val="934"/>
          <w:bCs/>
          <w:sz w:val="24"/>
          <w:szCs w:val="24"/>
        </w:rPr>
        <w:t xml:space="preserve">(в том числе в рамках проектной деятельности).</w:t>
      </w:r>
      <w:r>
        <w:rPr>
          <w:rStyle w:val="934"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6"/>
          <w:sz w:val="24"/>
          <w:szCs w:val="24"/>
        </w:rPr>
      </w:pPr>
      <w:r>
        <w:rPr>
          <w:rStyle w:val="934"/>
          <w:bCs/>
          <w:sz w:val="24"/>
          <w:szCs w:val="24"/>
        </w:rPr>
        <w:t xml:space="preserve">2.2. </w:t>
      </w:r>
      <w:r>
        <w:rPr>
          <w:rStyle w:val="935"/>
          <w:b w:val="false"/>
          <w:sz w:val="24"/>
          <w:szCs w:val="24"/>
        </w:rPr>
        <w:t xml:space="preserve">Качество </w:t>
      </w:r>
      <w:r>
        <w:rPr>
          <w:rStyle w:val="936"/>
          <w:bCs/>
          <w:sz w:val="24"/>
          <w:szCs w:val="24"/>
        </w:rPr>
        <w:t xml:space="preserve">выполненных работ.</w:t>
      </w:r>
      <w:r>
        <w:rPr>
          <w:rStyle w:val="936"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5"/>
          <w:b w:val="false"/>
          <w:sz w:val="24"/>
          <w:szCs w:val="24"/>
        </w:rPr>
      </w:pPr>
      <w:r>
        <w:rPr>
          <w:rStyle w:val="936"/>
          <w:bCs/>
          <w:sz w:val="24"/>
          <w:szCs w:val="24"/>
        </w:rPr>
        <w:t xml:space="preserve">2.3. </w:t>
      </w:r>
      <w:r>
        <w:rPr>
          <w:rStyle w:val="937"/>
          <w:b w:val="false"/>
          <w:sz w:val="24"/>
          <w:szCs w:val="24"/>
        </w:rPr>
        <w:t xml:space="preserve">Своевременность </w:t>
      </w:r>
      <w:r>
        <w:rPr>
          <w:rStyle w:val="934"/>
          <w:bCs/>
          <w:sz w:val="24"/>
          <w:szCs w:val="24"/>
        </w:rPr>
        <w:t xml:space="preserve">выполнения работ (в том числе в рамках проектной деятельности).</w:t>
      </w:r>
      <w:r>
        <w:rPr>
          <w:rStyle w:val="935"/>
          <w:b w:val="false"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4"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37"/>
          <w:b w:val="false"/>
          <w:sz w:val="24"/>
          <w:szCs w:val="24"/>
        </w:rPr>
        <w:t xml:space="preserve">Количество нарушений </w:t>
      </w:r>
      <w:r>
        <w:rPr>
          <w:rStyle w:val="934"/>
          <w:bCs/>
          <w:sz w:val="24"/>
          <w:szCs w:val="24"/>
        </w:rPr>
        <w:t xml:space="preserve">административного или должностного регламентов (в том числе нарушений трудовой дисциплины).</w:t>
      </w:r>
      <w:r>
        <w:rPr>
          <w:rStyle w:val="934"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4"/>
          <w:bCs/>
          <w:sz w:val="24"/>
          <w:szCs w:val="24"/>
        </w:rPr>
      </w:pPr>
      <w:r>
        <w:rPr>
          <w:rStyle w:val="934"/>
          <w:bCs/>
          <w:sz w:val="24"/>
          <w:szCs w:val="24"/>
        </w:rPr>
        <w:t xml:space="preserve">2.5. </w:t>
      </w:r>
      <w:r>
        <w:rPr>
          <w:rStyle w:val="937"/>
          <w:b w:val="false"/>
          <w:sz w:val="24"/>
          <w:szCs w:val="24"/>
        </w:rPr>
        <w:t xml:space="preserve">Количество обоснованных жалоб </w:t>
      </w:r>
      <w:r>
        <w:rPr>
          <w:rStyle w:val="934"/>
          <w:bCs/>
          <w:sz w:val="24"/>
          <w:szCs w:val="24"/>
        </w:rPr>
        <w:t xml:space="preserve">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34"/>
          <w:bCs/>
          <w:sz w:val="24"/>
          <w:szCs w:val="24"/>
        </w:rPr>
      </w:r>
      <w:r/>
    </w:p>
    <w:p>
      <w:pPr>
        <w:pStyle w:val="915"/>
        <w:jc w:val="both"/>
        <w:rPr>
          <w:rFonts w:ascii="Times New Roman" w:hAnsi="Times New Roman"/>
          <w:sz w:val="24"/>
          <w:szCs w:val="24"/>
        </w:rPr>
      </w:pPr>
      <w:r>
        <w:rPr>
          <w:rStyle w:val="934"/>
          <w:bCs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1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1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21 мая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05 </w:t>
      </w:r>
      <w:r>
        <w:rPr>
          <w:b/>
          <w:color w:val="000000"/>
          <w:sz w:val="24"/>
          <w:szCs w:val="24"/>
        </w:rPr>
        <w:t xml:space="preserve">июня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rPr>
        <w:rStyle w:val="912"/>
      </w:rPr>
      <w:framePr w:wrap="around" w:vAnchor="text" w:hAnchor="margin" w:xAlign="center" w:y="1"/>
    </w:pPr>
    <w:r>
      <w:rPr>
        <w:rStyle w:val="912"/>
      </w:rPr>
      <w:fldChar w:fldCharType="begin"/>
    </w:r>
    <w:r>
      <w:rPr>
        <w:rStyle w:val="912"/>
      </w:rPr>
      <w:instrText xml:space="preserve">PAGE  </w:instrText>
    </w:r>
    <w:r>
      <w:rPr>
        <w:rStyle w:val="912"/>
      </w:rPr>
      <w:fldChar w:fldCharType="separate"/>
    </w:r>
    <w:r>
      <w:rPr>
        <w:rStyle w:val="912"/>
      </w:rPr>
      <w:t xml:space="preserve">5</w:t>
    </w:r>
    <w:r>
      <w:rPr>
        <w:rStyle w:val="912"/>
      </w:rPr>
      <w:fldChar w:fldCharType="end"/>
    </w:r>
    <w:r>
      <w:rPr>
        <w:rStyle w:val="912"/>
      </w:rPr>
    </w:r>
    <w:r/>
  </w:p>
  <w:p>
    <w:pPr>
      <w:pStyle w:val="91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rPr>
        <w:rStyle w:val="912"/>
      </w:rPr>
      <w:framePr w:wrap="around" w:vAnchor="text" w:hAnchor="margin" w:xAlign="center" w:y="1"/>
    </w:pPr>
    <w:r>
      <w:rPr>
        <w:rStyle w:val="912"/>
      </w:rPr>
      <w:fldChar w:fldCharType="begin"/>
    </w:r>
    <w:r>
      <w:rPr>
        <w:rStyle w:val="912"/>
      </w:rPr>
      <w:instrText xml:space="preserve">PAGE  </w:instrText>
    </w:r>
    <w:r>
      <w:rPr>
        <w:rStyle w:val="912"/>
      </w:rPr>
      <w:fldChar w:fldCharType="end"/>
    </w:r>
    <w:r>
      <w:rPr>
        <w:rStyle w:val="912"/>
      </w:rPr>
    </w:r>
    <w:r/>
  </w:p>
  <w:p>
    <w:pPr>
      <w:pStyle w:val="91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90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90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90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90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90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90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90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90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90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90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90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90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90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90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0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6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90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90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90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90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0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6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90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906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906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6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6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6"/>
        </w:pPr>
        <w:rPr>
          <w:rFonts w:ascii="Times New Roman" w:hAnsi="Times New Roman"/>
        </w:rPr>
      </w:lvl>
    </w:lvlOverride>
  </w:num>
  <w:num w:numId="19">
    <w:abstractNumId w:val="10"/>
  </w:num>
  <w:num w:numId="20">
    <w:abstractNumId w:val="14"/>
  </w:num>
  <w:num w:numId="21">
    <w:abstractNumId w:val="15"/>
  </w:num>
  <w:num w:numId="22">
    <w:abstractNumId w:val="16"/>
  </w:num>
  <w:num w:numId="23">
    <w:abstractNumId w:val="17"/>
  </w:num>
  <w:num w:numId="24">
    <w:abstractNumId w:val="18"/>
  </w:num>
  <w:num w:numId="25">
    <w:abstractNumId w:val="19"/>
  </w:num>
  <w:num w:numId="26">
    <w:abstractNumId w:val="20"/>
  </w:num>
  <w:num w:numId="27">
    <w:abstractNumId w:val="21"/>
  </w:num>
  <w:num w:numId="28">
    <w:abstractNumId w:val="22"/>
  </w:num>
  <w:num w:numId="29">
    <w:abstractNumId w:val="23"/>
  </w:num>
  <w:num w:numId="30">
    <w:abstractNumId w:val="24"/>
  </w:num>
  <w:num w:numId="31">
    <w:abstractNumId w:val="25"/>
  </w:num>
  <w:num w:numId="32">
    <w:abstractNumId w:val="2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9">
    <w:name w:val="Heading 1"/>
    <w:link w:val="73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30">
    <w:name w:val="Heading 1 Char"/>
    <w:link w:val="729"/>
    <w:uiPriority w:val="9"/>
    <w:rPr>
      <w:rFonts w:ascii="Arial" w:hAnsi="Arial" w:cs="Arial" w:eastAsia="Arial"/>
      <w:sz w:val="40"/>
      <w:szCs w:val="40"/>
    </w:rPr>
  </w:style>
  <w:style w:type="paragraph" w:styleId="731">
    <w:name w:val="Heading 2"/>
    <w:link w:val="73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32">
    <w:name w:val="Heading 2 Char"/>
    <w:link w:val="731"/>
    <w:uiPriority w:val="9"/>
    <w:rPr>
      <w:rFonts w:ascii="Arial" w:hAnsi="Arial" w:cs="Arial" w:eastAsia="Arial"/>
      <w:sz w:val="34"/>
    </w:rPr>
  </w:style>
  <w:style w:type="paragraph" w:styleId="733">
    <w:name w:val="Heading 3"/>
    <w:link w:val="73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34">
    <w:name w:val="Heading 3 Char"/>
    <w:link w:val="733"/>
    <w:uiPriority w:val="9"/>
    <w:rPr>
      <w:rFonts w:ascii="Arial" w:hAnsi="Arial" w:cs="Arial" w:eastAsia="Arial"/>
      <w:sz w:val="30"/>
      <w:szCs w:val="30"/>
    </w:rPr>
  </w:style>
  <w:style w:type="paragraph" w:styleId="735">
    <w:name w:val="Heading 4"/>
    <w:link w:val="73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36">
    <w:name w:val="Heading 4 Char"/>
    <w:link w:val="735"/>
    <w:uiPriority w:val="9"/>
    <w:rPr>
      <w:rFonts w:ascii="Arial" w:hAnsi="Arial" w:cs="Arial" w:eastAsia="Arial"/>
      <w:b/>
      <w:bCs/>
      <w:sz w:val="26"/>
      <w:szCs w:val="26"/>
    </w:rPr>
  </w:style>
  <w:style w:type="paragraph" w:styleId="737">
    <w:name w:val="Heading 5"/>
    <w:link w:val="73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38">
    <w:name w:val="Heading 5 Char"/>
    <w:link w:val="737"/>
    <w:uiPriority w:val="9"/>
    <w:rPr>
      <w:rFonts w:ascii="Arial" w:hAnsi="Arial" w:cs="Arial" w:eastAsia="Arial"/>
      <w:b/>
      <w:bCs/>
      <w:sz w:val="24"/>
      <w:szCs w:val="24"/>
    </w:rPr>
  </w:style>
  <w:style w:type="paragraph" w:styleId="739">
    <w:name w:val="Heading 6"/>
    <w:link w:val="74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40">
    <w:name w:val="Heading 6 Char"/>
    <w:link w:val="739"/>
    <w:uiPriority w:val="9"/>
    <w:rPr>
      <w:rFonts w:ascii="Arial" w:hAnsi="Arial" w:cs="Arial" w:eastAsia="Arial"/>
      <w:b/>
      <w:bCs/>
      <w:sz w:val="22"/>
      <w:szCs w:val="22"/>
    </w:rPr>
  </w:style>
  <w:style w:type="paragraph" w:styleId="741">
    <w:name w:val="Heading 7"/>
    <w:link w:val="74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42">
    <w:name w:val="Heading 7 Char"/>
    <w:link w:val="74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43">
    <w:name w:val="Heading 8"/>
    <w:link w:val="74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44">
    <w:name w:val="Heading 8 Char"/>
    <w:link w:val="743"/>
    <w:uiPriority w:val="9"/>
    <w:rPr>
      <w:rFonts w:ascii="Arial" w:hAnsi="Arial" w:cs="Arial" w:eastAsia="Arial"/>
      <w:i/>
      <w:iCs/>
      <w:sz w:val="22"/>
      <w:szCs w:val="22"/>
    </w:rPr>
  </w:style>
  <w:style w:type="paragraph" w:styleId="745">
    <w:name w:val="Heading 9"/>
    <w:link w:val="74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46">
    <w:name w:val="Heading 9 Char"/>
    <w:link w:val="745"/>
    <w:uiPriority w:val="9"/>
    <w:rPr>
      <w:rFonts w:ascii="Arial" w:hAnsi="Arial" w:cs="Arial" w:eastAsia="Arial"/>
      <w:i/>
      <w:iCs/>
      <w:sz w:val="21"/>
      <w:szCs w:val="21"/>
    </w:rPr>
  </w:style>
  <w:style w:type="paragraph" w:styleId="747">
    <w:name w:val="List Paragraph"/>
    <w:qFormat/>
    <w:uiPriority w:val="34"/>
    <w:pPr>
      <w:contextualSpacing w:val="true"/>
      <w:ind w:left="720"/>
    </w:pPr>
  </w:style>
  <w:style w:type="paragraph" w:styleId="748">
    <w:name w:val="Title"/>
    <w:link w:val="74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49">
    <w:name w:val="Title Char"/>
    <w:link w:val="748"/>
    <w:uiPriority w:val="10"/>
    <w:rPr>
      <w:sz w:val="48"/>
      <w:szCs w:val="48"/>
    </w:rPr>
  </w:style>
  <w:style w:type="paragraph" w:styleId="750">
    <w:name w:val="Subtitle"/>
    <w:link w:val="751"/>
    <w:qFormat/>
    <w:uiPriority w:val="11"/>
    <w:rPr>
      <w:sz w:val="24"/>
      <w:szCs w:val="24"/>
    </w:rPr>
    <w:pPr>
      <w:spacing w:after="200" w:before="200"/>
    </w:pPr>
  </w:style>
  <w:style w:type="character" w:styleId="751">
    <w:name w:val="Subtitle Char"/>
    <w:link w:val="750"/>
    <w:uiPriority w:val="11"/>
    <w:rPr>
      <w:sz w:val="24"/>
      <w:szCs w:val="24"/>
    </w:rPr>
  </w:style>
  <w:style w:type="paragraph" w:styleId="752">
    <w:name w:val="Quote"/>
    <w:link w:val="753"/>
    <w:qFormat/>
    <w:uiPriority w:val="29"/>
    <w:rPr>
      <w:i/>
    </w:rPr>
    <w:pPr>
      <w:ind w:left="720" w:right="720"/>
    </w:pPr>
  </w:style>
  <w:style w:type="character" w:styleId="753">
    <w:name w:val="Quote Char"/>
    <w:link w:val="752"/>
    <w:uiPriority w:val="29"/>
    <w:rPr>
      <w:i/>
    </w:rPr>
  </w:style>
  <w:style w:type="paragraph" w:styleId="754">
    <w:name w:val="Intense Quote"/>
    <w:link w:val="75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55">
    <w:name w:val="Intense Quote Char"/>
    <w:link w:val="754"/>
    <w:uiPriority w:val="30"/>
    <w:rPr>
      <w:i/>
    </w:rPr>
  </w:style>
  <w:style w:type="paragraph" w:styleId="756">
    <w:name w:val="Header"/>
    <w:link w:val="75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57">
    <w:name w:val="Header Char"/>
    <w:link w:val="756"/>
    <w:uiPriority w:val="99"/>
  </w:style>
  <w:style w:type="paragraph" w:styleId="758">
    <w:name w:val="Footer"/>
    <w:link w:val="76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59">
    <w:name w:val="Footer Char"/>
    <w:link w:val="758"/>
    <w:uiPriority w:val="99"/>
  </w:style>
  <w:style w:type="paragraph" w:styleId="76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61">
    <w:name w:val="Caption Char"/>
    <w:basedOn w:val="760"/>
    <w:link w:val="758"/>
    <w:uiPriority w:val="99"/>
  </w:style>
  <w:style w:type="table" w:styleId="76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6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7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9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9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9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9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9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9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9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9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0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0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0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0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0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1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1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1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1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1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1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2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2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2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2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2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2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2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2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2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2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3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3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3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5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5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5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5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5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5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6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7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7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7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7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7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7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7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7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7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7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8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8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8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8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8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8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8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8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88">
    <w:name w:val="Hyperlink"/>
    <w:uiPriority w:val="99"/>
    <w:unhideWhenUsed/>
    <w:rPr>
      <w:color w:val="0000FF" w:themeColor="hyperlink"/>
      <w:u w:val="single"/>
    </w:rPr>
  </w:style>
  <w:style w:type="paragraph" w:styleId="889">
    <w:name w:val="footnote text"/>
    <w:link w:val="890"/>
    <w:uiPriority w:val="99"/>
    <w:semiHidden/>
    <w:unhideWhenUsed/>
    <w:rPr>
      <w:sz w:val="18"/>
    </w:rPr>
    <w:pPr>
      <w:spacing w:lineRule="auto" w:line="240" w:after="40"/>
    </w:pPr>
  </w:style>
  <w:style w:type="character" w:styleId="890">
    <w:name w:val="Footnote Text Char"/>
    <w:link w:val="889"/>
    <w:uiPriority w:val="99"/>
    <w:rPr>
      <w:sz w:val="18"/>
    </w:rPr>
  </w:style>
  <w:style w:type="character" w:styleId="891">
    <w:name w:val="footnote reference"/>
    <w:uiPriority w:val="99"/>
    <w:unhideWhenUsed/>
    <w:rPr>
      <w:vertAlign w:val="superscript"/>
    </w:rPr>
  </w:style>
  <w:style w:type="paragraph" w:styleId="892">
    <w:name w:val="endnote text"/>
    <w:link w:val="893"/>
    <w:uiPriority w:val="99"/>
    <w:semiHidden/>
    <w:unhideWhenUsed/>
    <w:rPr>
      <w:sz w:val="20"/>
    </w:rPr>
    <w:pPr>
      <w:spacing w:lineRule="auto" w:line="240" w:after="0"/>
    </w:pPr>
  </w:style>
  <w:style w:type="character" w:styleId="893">
    <w:name w:val="Endnote Text Char"/>
    <w:link w:val="892"/>
    <w:uiPriority w:val="99"/>
    <w:rPr>
      <w:sz w:val="20"/>
    </w:rPr>
  </w:style>
  <w:style w:type="character" w:styleId="894">
    <w:name w:val="endnote reference"/>
    <w:uiPriority w:val="99"/>
    <w:semiHidden/>
    <w:unhideWhenUsed/>
    <w:rPr>
      <w:vertAlign w:val="superscript"/>
    </w:rPr>
  </w:style>
  <w:style w:type="paragraph" w:styleId="895">
    <w:name w:val="toc 1"/>
    <w:uiPriority w:val="39"/>
    <w:unhideWhenUsed/>
    <w:pPr>
      <w:ind w:left="0" w:right="0" w:firstLine="0"/>
      <w:spacing w:after="57"/>
    </w:pPr>
  </w:style>
  <w:style w:type="paragraph" w:styleId="896">
    <w:name w:val="toc 2"/>
    <w:uiPriority w:val="39"/>
    <w:unhideWhenUsed/>
    <w:pPr>
      <w:ind w:left="283" w:right="0" w:firstLine="0"/>
      <w:spacing w:after="57"/>
    </w:pPr>
  </w:style>
  <w:style w:type="paragraph" w:styleId="897">
    <w:name w:val="toc 3"/>
    <w:uiPriority w:val="39"/>
    <w:unhideWhenUsed/>
    <w:pPr>
      <w:ind w:left="567" w:right="0" w:firstLine="0"/>
      <w:spacing w:after="57"/>
    </w:pPr>
  </w:style>
  <w:style w:type="paragraph" w:styleId="898">
    <w:name w:val="toc 4"/>
    <w:uiPriority w:val="39"/>
    <w:unhideWhenUsed/>
    <w:pPr>
      <w:ind w:left="850" w:right="0" w:firstLine="0"/>
      <w:spacing w:after="57"/>
    </w:pPr>
  </w:style>
  <w:style w:type="paragraph" w:styleId="899">
    <w:name w:val="toc 5"/>
    <w:uiPriority w:val="39"/>
    <w:unhideWhenUsed/>
    <w:pPr>
      <w:ind w:left="1134" w:right="0" w:firstLine="0"/>
      <w:spacing w:after="57"/>
    </w:pPr>
  </w:style>
  <w:style w:type="paragraph" w:styleId="900">
    <w:name w:val="toc 6"/>
    <w:uiPriority w:val="39"/>
    <w:unhideWhenUsed/>
    <w:pPr>
      <w:ind w:left="1417" w:right="0" w:firstLine="0"/>
      <w:spacing w:after="57"/>
    </w:pPr>
  </w:style>
  <w:style w:type="paragraph" w:styleId="901">
    <w:name w:val="toc 7"/>
    <w:uiPriority w:val="39"/>
    <w:unhideWhenUsed/>
    <w:pPr>
      <w:ind w:left="1701" w:right="0" w:firstLine="0"/>
      <w:spacing w:after="57"/>
    </w:pPr>
  </w:style>
  <w:style w:type="paragraph" w:styleId="902">
    <w:name w:val="toc 8"/>
    <w:uiPriority w:val="39"/>
    <w:unhideWhenUsed/>
    <w:pPr>
      <w:ind w:left="1984" w:right="0" w:firstLine="0"/>
      <w:spacing w:after="57"/>
    </w:pPr>
  </w:style>
  <w:style w:type="paragraph" w:styleId="903">
    <w:name w:val="toc 9"/>
    <w:uiPriority w:val="39"/>
    <w:unhideWhenUsed/>
    <w:pPr>
      <w:ind w:left="2268" w:right="0" w:firstLine="0"/>
      <w:spacing w:after="57"/>
    </w:pPr>
  </w:style>
  <w:style w:type="paragraph" w:styleId="904">
    <w:name w:val="TOC Heading"/>
    <w:uiPriority w:val="39"/>
    <w:unhideWhenUsed/>
  </w:style>
  <w:style w:type="paragraph" w:styleId="905">
    <w:name w:val="table of figures"/>
    <w:uiPriority w:val="99"/>
    <w:unhideWhenUsed/>
    <w:pPr>
      <w:spacing w:after="0" w:afterAutospacing="0"/>
    </w:pPr>
  </w:style>
  <w:style w:type="paragraph" w:styleId="906">
    <w:name w:val="Обычный"/>
    <w:next w:val="906"/>
    <w:link w:val="906"/>
    <w:rPr>
      <w:lang w:val="ru-RU" w:bidi="ar-SA" w:eastAsia="ru-RU"/>
    </w:rPr>
    <w:pPr>
      <w:widowControl w:val="off"/>
    </w:pPr>
  </w:style>
  <w:style w:type="character" w:styleId="907">
    <w:name w:val="Основной шрифт абзаца"/>
    <w:next w:val="907"/>
    <w:link w:val="906"/>
    <w:semiHidden/>
  </w:style>
  <w:style w:type="table" w:styleId="908">
    <w:name w:val="Обычная таблица"/>
    <w:next w:val="908"/>
    <w:link w:val="906"/>
    <w:semiHidden/>
    <w:tblPr/>
  </w:style>
  <w:style w:type="numbering" w:styleId="909">
    <w:name w:val="Нет списка"/>
    <w:next w:val="909"/>
    <w:link w:val="906"/>
    <w:semiHidden/>
  </w:style>
  <w:style w:type="paragraph" w:styleId="910">
    <w:name w:val="Текст выноски"/>
    <w:basedOn w:val="906"/>
    <w:next w:val="910"/>
    <w:link w:val="906"/>
    <w:semiHidden/>
    <w:rPr>
      <w:rFonts w:ascii="Tahoma" w:hAnsi="Tahoma"/>
      <w:sz w:val="16"/>
      <w:szCs w:val="16"/>
    </w:rPr>
  </w:style>
  <w:style w:type="paragraph" w:styleId="911">
    <w:name w:val="Верхний колонтитул"/>
    <w:basedOn w:val="906"/>
    <w:next w:val="911"/>
    <w:link w:val="922"/>
    <w:pPr>
      <w:tabs>
        <w:tab w:val="center" w:pos="4677" w:leader="none"/>
        <w:tab w:val="right" w:pos="9355" w:leader="none"/>
      </w:tabs>
    </w:pPr>
  </w:style>
  <w:style w:type="character" w:styleId="912">
    <w:name w:val="Номер страницы"/>
    <w:basedOn w:val="907"/>
    <w:next w:val="912"/>
    <w:link w:val="906"/>
  </w:style>
  <w:style w:type="table" w:styleId="913">
    <w:name w:val="Сетка таблицы"/>
    <w:basedOn w:val="908"/>
    <w:next w:val="913"/>
    <w:link w:val="906"/>
    <w:tblPr/>
  </w:style>
  <w:style w:type="paragraph" w:styleId="914">
    <w:name w:val="ConsPlusNormal"/>
    <w:next w:val="914"/>
    <w:link w:val="91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15">
    <w:name w:val="ConsPlusNonformat"/>
    <w:next w:val="915"/>
    <w:link w:val="906"/>
    <w:rPr>
      <w:rFonts w:ascii="Courier New" w:hAnsi="Courier New"/>
      <w:lang w:val="ru-RU" w:bidi="ar-SA" w:eastAsia="ru-RU"/>
    </w:rPr>
    <w:pPr>
      <w:widowControl w:val="off"/>
    </w:pPr>
  </w:style>
  <w:style w:type="character" w:styleId="916">
    <w:name w:val="ConsPlusNormal Знак"/>
    <w:next w:val="916"/>
    <w:link w:val="914"/>
    <w:rPr>
      <w:rFonts w:ascii="Arial" w:hAnsi="Arial"/>
      <w:lang w:val="ru-RU" w:bidi="ar-SA" w:eastAsia="ru-RU"/>
    </w:rPr>
  </w:style>
  <w:style w:type="paragraph" w:styleId="917">
    <w:name w:val="Название"/>
    <w:basedOn w:val="906"/>
    <w:next w:val="917"/>
    <w:link w:val="906"/>
    <w:rPr>
      <w:b/>
      <w:sz w:val="32"/>
    </w:rPr>
    <w:pPr>
      <w:jc w:val="center"/>
      <w:widowControl/>
    </w:pPr>
  </w:style>
  <w:style w:type="paragraph" w:styleId="918">
    <w:name w:val="Основной текст 3"/>
    <w:basedOn w:val="906"/>
    <w:next w:val="918"/>
    <w:link w:val="906"/>
    <w:rPr>
      <w:sz w:val="16"/>
      <w:szCs w:val="16"/>
    </w:rPr>
    <w:pPr>
      <w:spacing w:after="120"/>
      <w:widowControl/>
    </w:pPr>
  </w:style>
  <w:style w:type="character" w:styleId="919">
    <w:name w:val="Гиперссылка"/>
    <w:next w:val="919"/>
    <w:link w:val="906"/>
    <w:rPr>
      <w:color w:val="0000FF"/>
      <w:u w:val="single"/>
    </w:rPr>
  </w:style>
  <w:style w:type="paragraph" w:styleId="920">
    <w:name w:val="Обычный (веб)"/>
    <w:basedOn w:val="906"/>
    <w:next w:val="920"/>
    <w:link w:val="90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21">
    <w:name w:val="western"/>
    <w:basedOn w:val="906"/>
    <w:next w:val="921"/>
    <w:link w:val="90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22">
    <w:name w:val="Верхний колонтитул Знак"/>
    <w:next w:val="922"/>
    <w:link w:val="911"/>
    <w:rPr>
      <w:lang w:val="ru-RU" w:bidi="ar-SA" w:eastAsia="ru-RU"/>
    </w:rPr>
  </w:style>
  <w:style w:type="paragraph" w:styleId="923">
    <w:name w:val="Нижний колонтитул"/>
    <w:basedOn w:val="906"/>
    <w:next w:val="923"/>
    <w:link w:val="92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24">
    <w:name w:val="Нижний колонтитул Знак"/>
    <w:next w:val="924"/>
    <w:link w:val="923"/>
    <w:rPr>
      <w:sz w:val="28"/>
      <w:lang w:val="ru-RU" w:bidi="ar-SA" w:eastAsia="ru-RU"/>
    </w:rPr>
  </w:style>
  <w:style w:type="paragraph" w:styleId="925">
    <w:name w:val="Основной текст"/>
    <w:basedOn w:val="906"/>
    <w:next w:val="925"/>
    <w:link w:val="906"/>
    <w:pPr>
      <w:spacing w:after="120"/>
    </w:pPr>
  </w:style>
  <w:style w:type="paragraph" w:styleId="926">
    <w:name w:val="Основной текст с отступом"/>
    <w:basedOn w:val="906"/>
    <w:next w:val="926"/>
    <w:link w:val="906"/>
    <w:pPr>
      <w:ind w:left="283"/>
      <w:spacing w:after="120"/>
    </w:pPr>
  </w:style>
  <w:style w:type="paragraph" w:styleId="927">
    <w:name w:val="Основной текст с отступом 3"/>
    <w:basedOn w:val="906"/>
    <w:next w:val="927"/>
    <w:link w:val="906"/>
    <w:rPr>
      <w:sz w:val="16"/>
      <w:szCs w:val="16"/>
    </w:rPr>
    <w:pPr>
      <w:ind w:left="283"/>
      <w:spacing w:after="120"/>
    </w:pPr>
  </w:style>
  <w:style w:type="paragraph" w:styleId="928">
    <w:name w:val="ConsNonformat"/>
    <w:next w:val="928"/>
    <w:link w:val="90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29">
    <w:name w:val="ConsNormal"/>
    <w:next w:val="929"/>
    <w:link w:val="90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30">
    <w:name w:val="Таблицы (моноширинный)"/>
    <w:basedOn w:val="906"/>
    <w:next w:val="906"/>
    <w:link w:val="906"/>
    <w:rPr>
      <w:rFonts w:ascii="Courier New" w:hAnsi="Courier New"/>
    </w:rPr>
    <w:pPr>
      <w:jc w:val="both"/>
    </w:pPr>
  </w:style>
  <w:style w:type="character" w:styleId="931">
    <w:name w:val="Основной текст2"/>
    <w:next w:val="931"/>
    <w:link w:val="90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32">
    <w:name w:val="ConsPlusTitle"/>
    <w:next w:val="932"/>
    <w:link w:val="906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33">
    <w:name w:val="No Spacing"/>
    <w:next w:val="933"/>
    <w:link w:val="906"/>
    <w:rPr>
      <w:rFonts w:ascii="Calibri" w:hAnsi="Calibri"/>
      <w:sz w:val="22"/>
      <w:szCs w:val="22"/>
      <w:lang w:val="ru-RU" w:bidi="ar-SA" w:eastAsia="ru-RU"/>
    </w:rPr>
  </w:style>
  <w:style w:type="character" w:styleId="934">
    <w:name w:val="Font Style30"/>
    <w:next w:val="934"/>
    <w:link w:val="906"/>
    <w:rPr>
      <w:rFonts w:ascii="Times New Roman" w:hAnsi="Times New Roman"/>
      <w:sz w:val="22"/>
      <w:szCs w:val="22"/>
    </w:rPr>
  </w:style>
  <w:style w:type="character" w:styleId="935">
    <w:name w:val="Font Style48"/>
    <w:next w:val="935"/>
    <w:link w:val="906"/>
    <w:rPr>
      <w:rFonts w:ascii="Times New Roman" w:hAnsi="Times New Roman"/>
      <w:b/>
      <w:bCs/>
      <w:sz w:val="26"/>
      <w:szCs w:val="26"/>
    </w:rPr>
  </w:style>
  <w:style w:type="character" w:styleId="936">
    <w:name w:val="Font Style49"/>
    <w:next w:val="936"/>
    <w:link w:val="906"/>
    <w:rPr>
      <w:rFonts w:ascii="Times New Roman" w:hAnsi="Times New Roman"/>
      <w:sz w:val="26"/>
      <w:szCs w:val="26"/>
    </w:rPr>
  </w:style>
  <w:style w:type="character" w:styleId="937">
    <w:name w:val="Font Style29"/>
    <w:next w:val="937"/>
    <w:link w:val="906"/>
    <w:rPr>
      <w:rFonts w:ascii="Times New Roman" w:hAnsi="Times New Roman"/>
      <w:b/>
      <w:bCs/>
      <w:sz w:val="22"/>
      <w:szCs w:val="22"/>
    </w:rPr>
  </w:style>
  <w:style w:type="paragraph" w:styleId="938">
    <w:name w:val="Абзац списка"/>
    <w:basedOn w:val="906"/>
    <w:next w:val="938"/>
    <w:link w:val="939"/>
    <w:rPr>
      <w:rFonts w:ascii="Calibri" w:hAnsi="Calibri" w:eastAsia="Calibri"/>
      <w:sz w:val="22"/>
      <w:szCs w:val="22"/>
      <w:lang w:val="en-US" w:eastAsia="en-US"/>
    </w:rPr>
    <w:pPr>
      <w:contextualSpacing w:val="true"/>
      <w:ind w:left="720"/>
      <w:spacing w:lineRule="auto" w:line="276" w:after="200"/>
      <w:widowControl/>
    </w:pPr>
  </w:style>
  <w:style w:type="character" w:styleId="939">
    <w:name w:val="Абзац списка Знак"/>
    <w:next w:val="939"/>
    <w:link w:val="938"/>
    <w:rPr>
      <w:rFonts w:ascii="Calibri" w:hAnsi="Calibri" w:eastAsia="Calibri"/>
      <w:sz w:val="22"/>
      <w:szCs w:val="22"/>
      <w:lang w:val="en-US" w:eastAsia="en-US"/>
    </w:rPr>
  </w:style>
  <w:style w:type="character" w:styleId="940" w:default="1">
    <w:name w:val="Default Paragraph Font"/>
    <w:uiPriority w:val="1"/>
    <w:semiHidden/>
    <w:unhideWhenUsed/>
  </w:style>
  <w:style w:type="numbering" w:styleId="941" w:default="1">
    <w:name w:val="No List"/>
    <w:uiPriority w:val="99"/>
    <w:semiHidden/>
    <w:unhideWhenUsed/>
  </w:style>
  <w:style w:type="paragraph" w:styleId="942" w:default="1">
    <w:name w:val="Normal"/>
    <w:qFormat/>
  </w:style>
  <w:style w:type="table" w:styleId="94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28</cp:revision>
  <dcterms:modified xsi:type="dcterms:W3CDTF">2025-04-29T10:09:57Z</dcterms:modified>
</cp:coreProperties>
</file>