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4"/>
        <w:ind w:firstLine="720"/>
        <w:jc w:val="center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884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объявляет о проведении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повторного </w:t>
      </w:r>
      <w:r>
        <w:rPr>
          <w:sz w:val="24"/>
          <w:szCs w:val="24"/>
        </w:rPr>
        <w:t xml:space="preserve">конкурс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замещение вакант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должност</w:t>
      </w:r>
      <w:r>
        <w:rPr>
          <w:sz w:val="24"/>
          <w:szCs w:val="24"/>
        </w:rPr>
        <w:t xml:space="preserve">и</w:t>
      </w:r>
      <w:r>
        <w:rPr>
          <w:sz w:val="24"/>
          <w:szCs w:val="24"/>
        </w:rPr>
        <w:t xml:space="preserve"> муниципальной службы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главного специалиста отдела </w:t>
      </w:r>
      <w:r>
        <w:rPr>
          <w:sz w:val="24"/>
          <w:szCs w:val="24"/>
        </w:rPr>
        <w:t xml:space="preserve">земельных ресурсов управления имущественных и земельных отношений</w:t>
      </w:r>
      <w:r>
        <w:rPr>
          <w:sz w:val="24"/>
          <w:szCs w:val="24"/>
        </w:rPr>
        <w:t xml:space="preserve">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</w:t>
      </w:r>
      <w:r>
        <w:rPr>
          <w:i/>
          <w:sz w:val="24"/>
          <w:szCs w:val="24"/>
        </w:rPr>
        <w:t xml:space="preserve">у</w:t>
      </w:r>
      <w:r>
        <w:rPr>
          <w:sz w:val="24"/>
          <w:szCs w:val="24"/>
        </w:rPr>
        <w:t xml:space="preserve">га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/>
    </w:p>
    <w:p>
      <w:pPr>
        <w:pStyle w:val="884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личное заявление на имя представителя нанимателя;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rFonts w:ascii="Times New Roman" w:hAnsi="Times New Roman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(форма 001-ГС/у);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rFonts w:ascii="Times New Roman" w:hAnsi="Times New Roman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ж) иные документы, пр</w:t>
      </w:r>
      <w:r>
        <w:rPr>
          <w:rFonts w:ascii="Times New Roman" w:hAnsi="Times New Roman"/>
          <w:sz w:val="24"/>
          <w:szCs w:val="24"/>
        </w:rPr>
        <w:t xml:space="preserve">едусмотренные Федеральным законом от 02 марта 2007 года                    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анкету 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приложением фотографии.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4"/>
        <w:jc w:val="left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  <w:highlight w:val="none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>
        <w:rPr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  <w:highlight w:val="none"/>
        </w:rPr>
      </w:r>
      <w:r>
        <w:rPr>
          <w:b/>
          <w:bCs/>
          <w:color w:val="000000"/>
          <w:sz w:val="24"/>
          <w:szCs w:val="24"/>
          <w:highlight w:val="none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земельных ресурсов управления имущественных и земельных отношений администрации Новооскольского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</w:t>
            </w:r>
            <w:r>
              <w:rPr>
                <w:i/>
                <w:sz w:val="24"/>
                <w:szCs w:val="24"/>
              </w:rPr>
              <w:t xml:space="preserve">у</w:t>
            </w:r>
            <w:r>
              <w:rPr>
                <w:sz w:val="24"/>
                <w:szCs w:val="24"/>
              </w:rPr>
              <w:t xml:space="preserve">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4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земельных ресурсов управления имущественных и земельных отношений администрации Новооскольского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</w:t>
            </w:r>
            <w:r>
              <w:rPr>
                <w:i/>
                <w:sz w:val="24"/>
                <w:szCs w:val="24"/>
              </w:rPr>
              <w:t xml:space="preserve">у</w:t>
            </w:r>
            <w:r>
              <w:rPr>
                <w:sz w:val="24"/>
                <w:szCs w:val="24"/>
              </w:rPr>
              <w:t xml:space="preserve">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знание государственного языка Российской Федерации (русского языка);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правовыми знаниями основ: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Конституции Российской Федерации;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Федерального закона от 6 октября 2003 года №131-ФЗ «Об общих принципах организации местного самоуправления в Российской Федерации»;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Федерального закона</w:t>
            </w:r>
            <w:r>
              <w:rPr>
                <w:sz w:val="24"/>
                <w:szCs w:val="24"/>
              </w:rPr>
              <w:t xml:space="preserve"> от 2 марта 2007 года № 25-ФЗ    «</w:t>
            </w:r>
            <w:r>
              <w:rPr>
                <w:sz w:val="24"/>
                <w:szCs w:val="24"/>
              </w:rPr>
              <w:t xml:space="preserve">О муниципальной службе в Российской Федерации»;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г) законодательства о противодействии коррупции;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д) закона Белгородской области от 24 сентября 2007 года № 150 «Об особенностях организации муниципальной службы в Белгородской области».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 работать на компьютере, в том числе в сети «Интернет»;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4) работать в информационно-правовых системах;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5) эффективно планировать работу и контролировать ее выполнение;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6) оперативно принимать и реализовывать управленческие решения;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7) взаимодействовать с представителями государственных органов, органов местного самоуправления, организаций;</w:t>
            </w:r>
            <w:r/>
          </w:p>
          <w:p>
            <w:pPr>
              <w:pStyle w:val="88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8) соблюдать этику делового общения при взаимодействии с гражданами.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земельных ресурсов управления имущественных и земельных отношений администрации Новооскольского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</w:t>
            </w:r>
            <w:r>
              <w:rPr>
                <w:i/>
                <w:sz w:val="24"/>
                <w:szCs w:val="24"/>
              </w:rPr>
              <w:t xml:space="preserve">у</w:t>
            </w:r>
            <w:r>
              <w:rPr>
                <w:sz w:val="24"/>
                <w:szCs w:val="24"/>
              </w:rPr>
              <w:t xml:space="preserve">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Профессиональные знания: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Конституции Российской Федерации, федеральных конституционных законов, федеральных законов, законов Росси</w:t>
            </w:r>
            <w:r>
              <w:rPr>
                <w:sz w:val="24"/>
                <w:szCs w:val="24"/>
              </w:rPr>
              <w:t xml:space="preserve">йской Федерации, Указов и распоряжений Президента Российской Федерации, постановлений и распоряжений Правительства Российской Федерации, законов Белгородской области, постановлений и распоряжений Губернатора и Правительства Белгородской области, Устава Нов</w:t>
            </w:r>
            <w:r>
              <w:rPr>
                <w:sz w:val="24"/>
                <w:szCs w:val="24"/>
              </w:rPr>
              <w:t xml:space="preserve">ооскольского городского округа, муниципальных правовых актов органов местного самоуправления Новооскольского городского округа, иных нормативных правовых актов, регулирующих служебную деятельность, применительно к исполнению своих должностных обязанностей;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Трудового кодекса Российской Федерации;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Земельного кодекса Российской Федерации;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Гражданского кодекса Российской Федерации;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Федерального Закона от 06 октября 2003 года № 131-ФЗ «Об общих принципах организации местного самоуправления в Российской Федерации»;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федеральных законов и иных нормативных правовых актов Российской Федерации о муниципальной службе, а также законов Белгородской области, регулирующих особенности организации муниципальной службы;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отдельных федеральных законов и нормативных правовых актов Российской Федерации, нормативных правовых актов Белгородской области, регламентирующих работу по противодействию коррупции на муниципальной службе;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федеральных законов и иных нормативных правовых актов Российской Федерации, Белгородской области, Новооскольского городского округа по профилю деятельности;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- документов, определяющих перспективы развития Российской Федерации, Белгородской области, Новооскольского городского округа по профилю деятельности;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Положения управления имущественных и земельных отношений   Новооскольского городского округа;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Кодекса этики и служебного поведения муниципального служащего;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Правил внутреннего трудового распорядка;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порядка работы с документами в администрации Новооскольского городского округа;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порядка рассмотрения обращений граждан, юридических лиц по вопросам, входящим в компетенцию администрации Новооскольского городского округа по профилю деятельности;</w:t>
            </w:r>
            <w:r/>
          </w:p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 знания в области информационно-коммуникационных технологий (далее – ИКТ): аппаратного и программного </w:t>
            </w:r>
            <w:r>
              <w:rPr>
                <w:sz w:val="24"/>
                <w:szCs w:val="24"/>
              </w:rPr>
              <w:t xml:space="preserve">обеспечения, возможностей и особенностей применения современных ИКТ в администрации  Новооскольского городского округа,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/>
          </w:p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 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884"/>
              <w:jc w:val="both"/>
            </w:pPr>
            <w:r>
              <w:rPr>
                <w:sz w:val="24"/>
                <w:szCs w:val="24"/>
              </w:rPr>
              <w:t xml:space="preserve">- способность логически верно, аргументированно и ясно строить устную и письменную речь; грамотное написание текста на русском языке;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знание основ делопроизводства и документооборота (умение правильно оформлять документы; знание процедуры их согласования, утверждения, хранения и перемещения);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иных нормативных правовых актов, необходимых для осуществления деятельности в рамках должностной инструкции;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основные положения антимонопольного законодательства.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12 Федерального закона от 02 марта 2007 года  № 25-ФЗ 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«О муниципальной службе в Российской Федерации» муниципальный служащий обязан: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Оказывает содействие в подготовке командой проекта проектной документации (презентация проекта, паспорт проекта, план управления проектом, итоговый отчет по проекту).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Обеспечивает организационно-методическое руководство при осуществлении проектной деятельности в органе 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(управление 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/>
    </w:p>
    <w:p>
      <w:pPr>
        <w:pStyle w:val="884"/>
        <w:ind w:firstLine="567"/>
        <w:jc w:val="both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имущественных и земельных отношений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Осуществляет контроль за ведением проектов в АИС «Проектное управление», своевременным внесением изменений в проектную документацию.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Осуществляет контроль за качеством выполнения мероприятий проектов, мониторинг реализации проектов по целям, срокам и бюджетам.  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Осуществляет проверку соответствия проектов требованиям положения об управлении проектами в Новооскольском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округе, утвержденном постановлением администрации Новооскольского района от 26 декабря 2011 года № 1808.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Формирует  и поддерживает в актуальном состоянии банк данных проектов, планируемых к реализации, реализуемых и завершенных в АИС «Проектное управление».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Осуществляет формирование, обновление и мониторинг текущего состояния электронных  баз участников проектов.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Осуществляет методическое руководство и контроль за подготовкой проектной документации на соответствие установленным требованиям: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проверка наличия всех проектных документов;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анализ и определение степени необходимой детализации проектных документов;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анализ корректности содержания проектных документов.</w:t>
      </w:r>
      <w:r/>
    </w:p>
    <w:p>
      <w:pPr>
        <w:pStyle w:val="8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Ведет работу по составлению и актуализации графика открытия проектов органом администрации городского округа (управление имущественных и</w:t>
      </w:r>
      <w:r>
        <w:rPr>
          <w:sz w:val="24"/>
          <w:szCs w:val="24"/>
        </w:rPr>
        <w:t xml:space="preserve"> земельных отношений администрации Новооскольского городского округа), оказывает содействие инициатору в подготовке проектной документации для представления на Градостроительно-экономическом Совете при главе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</w:p>
    <w:p>
      <w:pPr>
        <w:pStyle w:val="8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Инициирует предложения по вопросам организации проектного управления, повышению его эффективности.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Осуществляет взаимодействие с отделом проектного управления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</w:p>
    <w:p>
      <w:pPr>
        <w:pStyle w:val="8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Осуществляет реализацию мероприятий антимонопольного комплаенса в администрации Новооскольского городского округа в соответствии с постановлени</w:t>
      </w:r>
      <w:r>
        <w:rPr>
          <w:sz w:val="24"/>
          <w:szCs w:val="24"/>
        </w:rPr>
        <w:t xml:space="preserve">ем администрации Новооскольского городского округа от 27 июня 2019 года № 359 «Об организации системы внутреннего обеспечения соответствия требованиям антимонопольного законодательства деятельности администрации Новооскольского городского округа», включая:</w:t>
      </w:r>
      <w:r/>
    </w:p>
    <w:p>
      <w:pPr>
        <w:pStyle w:val="884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представление уполномоченному подразделению (должностному лицу), ответственному за функционирование антимонопольного к</w:t>
      </w:r>
      <w:r>
        <w:rPr>
          <w:sz w:val="24"/>
          <w:szCs w:val="24"/>
        </w:rPr>
        <w:t xml:space="preserve">омплаенса 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сведений о наличии нарушений антимонопольного законодательства, сведений о действующих нормативных правовых актах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подготовленных отделом земельных</w:t>
      </w:r>
      <w:r>
        <w:rPr>
          <w:sz w:val="24"/>
          <w:szCs w:val="24"/>
        </w:rPr>
        <w:t xml:space="preserve"> ресурсов управления имущественных и земельных отношений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по направлениям деятельности отдела земельных ресурсов управления имущественных и земельных отношений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4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проведение анализа проектов нормативных правовых актов адм</w:t>
      </w:r>
      <w:r>
        <w:rPr>
          <w:sz w:val="24"/>
          <w:szCs w:val="24"/>
        </w:rPr>
        <w:t xml:space="preserve">инистрации Новооскольского городского округа, подготовленных отделом земельных ресурсов управления имущественных и земельных отношений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на предмет выявления рисков нарушения антимонопольного законодательства;</w:t>
      </w:r>
      <w:r/>
    </w:p>
    <w:p>
      <w:pPr>
        <w:pStyle w:val="884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исполнение плана мероприятий по снижению комплаенкс-рисков, достижение ключевых показателей эффективности функционирования антимонопольного комплаенса в администрации Новооскольского городского округа;</w:t>
      </w:r>
      <w:r/>
    </w:p>
    <w:p>
      <w:pPr>
        <w:pStyle w:val="88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участие в подготовке проекта ежегодного доклада об антимонопольном комплаенсе.</w:t>
      </w:r>
      <w:r/>
    </w:p>
    <w:p>
      <w:pPr>
        <w:pStyle w:val="88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Реализует план мероприятий («дорожную карту») по содействию развитию конкуренции 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подведомственным товарным рынкам (сферам), мероприятиям, ключевым показателям.</w:t>
      </w:r>
      <w:r/>
    </w:p>
    <w:p>
      <w:pPr>
        <w:pStyle w:val="89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служащего и </w:t>
      </w:r>
      <w:r>
        <w:rPr>
          <w:rFonts w:ascii="Times New Roman" w:hAnsi="Times New Roman"/>
          <w:sz w:val="24"/>
          <w:szCs w:val="24"/>
        </w:rPr>
        <w:t xml:space="preserve">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городского округа.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Качество выполненных работ.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84"/>
        <w:ind w:firstLine="567"/>
        <w:jc w:val="both"/>
        <w:rPr>
          <w:rStyle w:val="912"/>
          <w:sz w:val="24"/>
          <w:szCs w:val="24"/>
        </w:rPr>
      </w:pP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12"/>
          <w:sz w:val="24"/>
          <w:szCs w:val="24"/>
        </w:rPr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23 мая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16 июня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01 </w:t>
      </w:r>
      <w:r>
        <w:rPr>
          <w:b/>
          <w:color w:val="000000"/>
          <w:sz w:val="24"/>
          <w:szCs w:val="24"/>
        </w:rPr>
        <w:t xml:space="preserve">июля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separate"/>
    </w:r>
    <w:r>
      <w:rPr>
        <w:rStyle w:val="890"/>
      </w:rPr>
      <w:t xml:space="preserve">6</w: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429" w:hanging="360"/>
      </w:pPr>
    </w:lvl>
    <w:lvl w:ilvl="1">
      <w:start w:val="1"/>
      <w:numFmt w:val="bullet"/>
      <w:isLgl w:val="false"/>
      <w:suff w:val="tab"/>
      <w:lvlText w:val=""/>
      <w:lvlJc w:val="left"/>
      <w:pPr>
        <w:pStyle w:val="884"/>
        <w:ind w:left="2149" w:hanging="360"/>
      </w:pPr>
      <w:rPr>
        <w:rFonts w:ascii="Symbol" w:hAnsi="Symbol"/>
      </w:r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7189" w:hanging="180"/>
      </w:pPr>
    </w:lvl>
  </w:abstractNum>
  <w:abstractNum w:abstractNumId="6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160" w:hanging="2160"/>
        <w:tabs>
          <w:tab w:val="num" w:pos="216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29" w:hanging="180"/>
        <w:tabs>
          <w:tab w:val="num" w:pos="6829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30" w:hanging="180"/>
        <w:tabs>
          <w:tab w:val="num" w:pos="683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4"/>
        <w:ind w:left="144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216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4"/>
        <w:ind w:left="360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4"/>
        <w:ind w:left="432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4"/>
        <w:ind w:left="576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4"/>
        <w:ind w:left="648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7200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4"/>
        <w:ind w:left="720" w:hanging="360"/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4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10"/>
  </w:num>
  <w:num w:numId="3">
    <w:abstractNumId w:val="13"/>
  </w:num>
  <w:num w:numId="4">
    <w:abstractNumId w:val="1"/>
  </w:num>
  <w:num w:numId="5">
    <w:abstractNumId w:val="8"/>
  </w:num>
  <w:num w:numId="6">
    <w:abstractNumId w:val="2"/>
  </w:num>
  <w:num w:numId="7">
    <w:abstractNumId w:val="9"/>
  </w:num>
  <w:num w:numId="8">
    <w:abstractNumId w:val="4"/>
  </w:num>
  <w:num w:numId="9">
    <w:abstractNumId w:val="7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5"/>
  </w:num>
  <w:num w:numId="15">
    <w:abstractNumId w:val="14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9">
    <w:abstractNumId w:val="12"/>
  </w:num>
  <w:num w:numId="20">
    <w:abstractNumId w:val="11"/>
  </w:num>
  <w:num w:numId="21">
    <w:abstractNumId w:val="5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7">
    <w:name w:val="Heading 1"/>
    <w:link w:val="70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8">
    <w:name w:val="Heading 1 Char"/>
    <w:link w:val="707"/>
    <w:uiPriority w:val="9"/>
    <w:rPr>
      <w:rFonts w:ascii="Arial" w:hAnsi="Arial" w:cs="Arial" w:eastAsia="Arial"/>
      <w:sz w:val="40"/>
      <w:szCs w:val="40"/>
    </w:rPr>
  </w:style>
  <w:style w:type="paragraph" w:styleId="709">
    <w:name w:val="Heading 2"/>
    <w:link w:val="71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0">
    <w:name w:val="Heading 2 Char"/>
    <w:link w:val="709"/>
    <w:uiPriority w:val="9"/>
    <w:rPr>
      <w:rFonts w:ascii="Arial" w:hAnsi="Arial" w:cs="Arial" w:eastAsia="Arial"/>
      <w:sz w:val="34"/>
    </w:rPr>
  </w:style>
  <w:style w:type="paragraph" w:styleId="711">
    <w:name w:val="Heading 3"/>
    <w:link w:val="71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2">
    <w:name w:val="Heading 3 Char"/>
    <w:link w:val="711"/>
    <w:uiPriority w:val="9"/>
    <w:rPr>
      <w:rFonts w:ascii="Arial" w:hAnsi="Arial" w:cs="Arial" w:eastAsia="Arial"/>
      <w:sz w:val="30"/>
      <w:szCs w:val="30"/>
    </w:rPr>
  </w:style>
  <w:style w:type="paragraph" w:styleId="713">
    <w:name w:val="Heading 4"/>
    <w:link w:val="71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4">
    <w:name w:val="Heading 4 Char"/>
    <w:link w:val="713"/>
    <w:uiPriority w:val="9"/>
    <w:rPr>
      <w:rFonts w:ascii="Arial" w:hAnsi="Arial" w:cs="Arial" w:eastAsia="Arial"/>
      <w:b/>
      <w:bCs/>
      <w:sz w:val="26"/>
      <w:szCs w:val="26"/>
    </w:rPr>
  </w:style>
  <w:style w:type="paragraph" w:styleId="715">
    <w:name w:val="Heading 5"/>
    <w:link w:val="71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6">
    <w:name w:val="Heading 5 Char"/>
    <w:link w:val="715"/>
    <w:uiPriority w:val="9"/>
    <w:rPr>
      <w:rFonts w:ascii="Arial" w:hAnsi="Arial" w:cs="Arial" w:eastAsia="Arial"/>
      <w:b/>
      <w:bCs/>
      <w:sz w:val="24"/>
      <w:szCs w:val="24"/>
    </w:rPr>
  </w:style>
  <w:style w:type="paragraph" w:styleId="717">
    <w:name w:val="Heading 6"/>
    <w:link w:val="71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8">
    <w:name w:val="Heading 6 Char"/>
    <w:link w:val="717"/>
    <w:uiPriority w:val="9"/>
    <w:rPr>
      <w:rFonts w:ascii="Arial" w:hAnsi="Arial" w:cs="Arial" w:eastAsia="Arial"/>
      <w:b/>
      <w:bCs/>
      <w:sz w:val="22"/>
      <w:szCs w:val="22"/>
    </w:rPr>
  </w:style>
  <w:style w:type="paragraph" w:styleId="719">
    <w:name w:val="Heading 7"/>
    <w:link w:val="72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0">
    <w:name w:val="Heading 7 Char"/>
    <w:link w:val="71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1">
    <w:name w:val="Heading 8"/>
    <w:link w:val="72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2">
    <w:name w:val="Heading 8 Char"/>
    <w:link w:val="721"/>
    <w:uiPriority w:val="9"/>
    <w:rPr>
      <w:rFonts w:ascii="Arial" w:hAnsi="Arial" w:cs="Arial" w:eastAsia="Arial"/>
      <w:i/>
      <w:iCs/>
      <w:sz w:val="22"/>
      <w:szCs w:val="22"/>
    </w:rPr>
  </w:style>
  <w:style w:type="paragraph" w:styleId="723">
    <w:name w:val="Heading 9"/>
    <w:link w:val="72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4">
    <w:name w:val="Heading 9 Char"/>
    <w:link w:val="723"/>
    <w:uiPriority w:val="9"/>
    <w:rPr>
      <w:rFonts w:ascii="Arial" w:hAnsi="Arial" w:cs="Arial" w:eastAsia="Arial"/>
      <w:i/>
      <w:iCs/>
      <w:sz w:val="21"/>
      <w:szCs w:val="21"/>
    </w:rPr>
  </w:style>
  <w:style w:type="paragraph" w:styleId="725">
    <w:name w:val="List Paragraph"/>
    <w:qFormat/>
    <w:uiPriority w:val="34"/>
    <w:pPr>
      <w:contextualSpacing w:val="true"/>
      <w:ind w:left="720"/>
    </w:pPr>
  </w:style>
  <w:style w:type="paragraph" w:styleId="726">
    <w:name w:val="Title"/>
    <w:link w:val="72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7">
    <w:name w:val="Title Char"/>
    <w:link w:val="726"/>
    <w:uiPriority w:val="10"/>
    <w:rPr>
      <w:sz w:val="48"/>
      <w:szCs w:val="48"/>
    </w:rPr>
  </w:style>
  <w:style w:type="paragraph" w:styleId="728">
    <w:name w:val="Subtitle"/>
    <w:link w:val="729"/>
    <w:qFormat/>
    <w:uiPriority w:val="11"/>
    <w:rPr>
      <w:sz w:val="24"/>
      <w:szCs w:val="24"/>
    </w:rPr>
    <w:pPr>
      <w:spacing w:after="200" w:before="200"/>
    </w:pPr>
  </w:style>
  <w:style w:type="character" w:styleId="729">
    <w:name w:val="Subtitle Char"/>
    <w:link w:val="728"/>
    <w:uiPriority w:val="11"/>
    <w:rPr>
      <w:sz w:val="24"/>
      <w:szCs w:val="24"/>
    </w:rPr>
  </w:style>
  <w:style w:type="paragraph" w:styleId="730">
    <w:name w:val="Quote"/>
    <w:link w:val="731"/>
    <w:qFormat/>
    <w:uiPriority w:val="29"/>
    <w:rPr>
      <w:i/>
    </w:rPr>
    <w:pPr>
      <w:ind w:left="720" w:right="720"/>
    </w:pPr>
  </w:style>
  <w:style w:type="character" w:styleId="731">
    <w:name w:val="Quote Char"/>
    <w:link w:val="730"/>
    <w:uiPriority w:val="29"/>
    <w:rPr>
      <w:i/>
    </w:rPr>
  </w:style>
  <w:style w:type="paragraph" w:styleId="732">
    <w:name w:val="Intense Quote"/>
    <w:link w:val="73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3">
    <w:name w:val="Intense Quote Char"/>
    <w:link w:val="732"/>
    <w:uiPriority w:val="30"/>
    <w:rPr>
      <w:i/>
    </w:rPr>
  </w:style>
  <w:style w:type="paragraph" w:styleId="734">
    <w:name w:val="Header"/>
    <w:link w:val="73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5">
    <w:name w:val="Header Char"/>
    <w:link w:val="734"/>
    <w:uiPriority w:val="99"/>
  </w:style>
  <w:style w:type="paragraph" w:styleId="736">
    <w:name w:val="Footer"/>
    <w:link w:val="73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7">
    <w:name w:val="Footer Char"/>
    <w:link w:val="736"/>
    <w:uiPriority w:val="99"/>
  </w:style>
  <w:style w:type="paragraph" w:styleId="73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9">
    <w:name w:val="Caption Char"/>
    <w:basedOn w:val="738"/>
    <w:link w:val="736"/>
    <w:uiPriority w:val="99"/>
  </w:style>
  <w:style w:type="table" w:styleId="74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6">
    <w:name w:val="Hyperlink"/>
    <w:uiPriority w:val="99"/>
    <w:unhideWhenUsed/>
    <w:rPr>
      <w:color w:val="0000FF" w:themeColor="hyperlink"/>
      <w:u w:val="single"/>
    </w:rPr>
  </w:style>
  <w:style w:type="paragraph" w:styleId="867">
    <w:name w:val="footnote text"/>
    <w:link w:val="868"/>
    <w:uiPriority w:val="99"/>
    <w:semiHidden/>
    <w:unhideWhenUsed/>
    <w:rPr>
      <w:sz w:val="18"/>
    </w:rPr>
    <w:pPr>
      <w:spacing w:lineRule="auto" w:line="240" w:after="40"/>
    </w:pPr>
  </w:style>
  <w:style w:type="character" w:styleId="868">
    <w:name w:val="Footnote Text Char"/>
    <w:link w:val="867"/>
    <w:uiPriority w:val="99"/>
    <w:rPr>
      <w:sz w:val="18"/>
    </w:rPr>
  </w:style>
  <w:style w:type="character" w:styleId="869">
    <w:name w:val="footnote reference"/>
    <w:uiPriority w:val="99"/>
    <w:unhideWhenUsed/>
    <w:rPr>
      <w:vertAlign w:val="superscript"/>
    </w:rPr>
  </w:style>
  <w:style w:type="paragraph" w:styleId="870">
    <w:name w:val="endnote text"/>
    <w:link w:val="871"/>
    <w:uiPriority w:val="99"/>
    <w:semiHidden/>
    <w:unhideWhenUsed/>
    <w:rPr>
      <w:sz w:val="20"/>
    </w:rPr>
    <w:pPr>
      <w:spacing w:lineRule="auto" w:line="240" w:after="0"/>
    </w:pPr>
  </w:style>
  <w:style w:type="character" w:styleId="871">
    <w:name w:val="Endnote Text Char"/>
    <w:link w:val="870"/>
    <w:uiPriority w:val="99"/>
    <w:rPr>
      <w:sz w:val="20"/>
    </w:rPr>
  </w:style>
  <w:style w:type="character" w:styleId="872">
    <w:name w:val="endnote reference"/>
    <w:uiPriority w:val="99"/>
    <w:semiHidden/>
    <w:unhideWhenUsed/>
    <w:rPr>
      <w:vertAlign w:val="superscript"/>
    </w:rPr>
  </w:style>
  <w:style w:type="paragraph" w:styleId="873">
    <w:name w:val="toc 1"/>
    <w:uiPriority w:val="39"/>
    <w:unhideWhenUsed/>
    <w:pPr>
      <w:ind w:left="0" w:right="0" w:firstLine="0"/>
      <w:spacing w:after="57"/>
    </w:pPr>
  </w:style>
  <w:style w:type="paragraph" w:styleId="874">
    <w:name w:val="toc 2"/>
    <w:uiPriority w:val="39"/>
    <w:unhideWhenUsed/>
    <w:pPr>
      <w:ind w:left="283" w:right="0" w:firstLine="0"/>
      <w:spacing w:after="57"/>
    </w:pPr>
  </w:style>
  <w:style w:type="paragraph" w:styleId="875">
    <w:name w:val="toc 3"/>
    <w:uiPriority w:val="39"/>
    <w:unhideWhenUsed/>
    <w:pPr>
      <w:ind w:left="567" w:right="0" w:firstLine="0"/>
      <w:spacing w:after="57"/>
    </w:pPr>
  </w:style>
  <w:style w:type="paragraph" w:styleId="876">
    <w:name w:val="toc 4"/>
    <w:uiPriority w:val="39"/>
    <w:unhideWhenUsed/>
    <w:pPr>
      <w:ind w:left="850" w:right="0" w:firstLine="0"/>
      <w:spacing w:after="57"/>
    </w:pPr>
  </w:style>
  <w:style w:type="paragraph" w:styleId="877">
    <w:name w:val="toc 5"/>
    <w:uiPriority w:val="39"/>
    <w:unhideWhenUsed/>
    <w:pPr>
      <w:ind w:left="1134" w:right="0" w:firstLine="0"/>
      <w:spacing w:after="57"/>
    </w:pPr>
  </w:style>
  <w:style w:type="paragraph" w:styleId="878">
    <w:name w:val="toc 6"/>
    <w:uiPriority w:val="39"/>
    <w:unhideWhenUsed/>
    <w:pPr>
      <w:ind w:left="1417" w:right="0" w:firstLine="0"/>
      <w:spacing w:after="57"/>
    </w:pPr>
  </w:style>
  <w:style w:type="paragraph" w:styleId="879">
    <w:name w:val="toc 7"/>
    <w:uiPriority w:val="39"/>
    <w:unhideWhenUsed/>
    <w:pPr>
      <w:ind w:left="1701" w:right="0" w:firstLine="0"/>
      <w:spacing w:after="57"/>
    </w:pPr>
  </w:style>
  <w:style w:type="paragraph" w:styleId="880">
    <w:name w:val="toc 8"/>
    <w:uiPriority w:val="39"/>
    <w:unhideWhenUsed/>
    <w:pPr>
      <w:ind w:left="1984" w:right="0" w:firstLine="0"/>
      <w:spacing w:after="57"/>
    </w:pPr>
  </w:style>
  <w:style w:type="paragraph" w:styleId="881">
    <w:name w:val="toc 9"/>
    <w:uiPriority w:val="39"/>
    <w:unhideWhenUsed/>
    <w:pPr>
      <w:ind w:left="2268" w:right="0" w:firstLine="0"/>
      <w:spacing w:after="57"/>
    </w:pPr>
  </w:style>
  <w:style w:type="paragraph" w:styleId="882">
    <w:name w:val="TOC Heading"/>
    <w:uiPriority w:val="39"/>
    <w:unhideWhenUsed/>
  </w:style>
  <w:style w:type="paragraph" w:styleId="883">
    <w:name w:val="table of figures"/>
    <w:uiPriority w:val="99"/>
    <w:unhideWhenUsed/>
    <w:pPr>
      <w:spacing w:after="0" w:afterAutospacing="0"/>
    </w:pPr>
  </w:style>
  <w:style w:type="paragraph" w:styleId="884">
    <w:name w:val="Обычный"/>
    <w:next w:val="884"/>
    <w:link w:val="884"/>
    <w:rPr>
      <w:lang w:val="ru-RU" w:bidi="ar-SA" w:eastAsia="ru-RU"/>
    </w:rPr>
    <w:pPr>
      <w:widowControl w:val="off"/>
    </w:pPr>
  </w:style>
  <w:style w:type="character" w:styleId="885">
    <w:name w:val="Основной шрифт абзаца"/>
    <w:next w:val="885"/>
    <w:link w:val="884"/>
    <w:semiHidden/>
  </w:style>
  <w:style w:type="table" w:styleId="886">
    <w:name w:val="Обычная таблица"/>
    <w:next w:val="886"/>
    <w:link w:val="884"/>
    <w:semiHidden/>
    <w:tblPr/>
  </w:style>
  <w:style w:type="numbering" w:styleId="887">
    <w:name w:val="Нет списка"/>
    <w:next w:val="887"/>
    <w:link w:val="884"/>
    <w:semiHidden/>
  </w:style>
  <w:style w:type="paragraph" w:styleId="888">
    <w:name w:val="Текст выноски"/>
    <w:basedOn w:val="884"/>
    <w:next w:val="888"/>
    <w:link w:val="884"/>
    <w:semiHidden/>
    <w:rPr>
      <w:rFonts w:ascii="Tahoma" w:hAnsi="Tahoma"/>
      <w:sz w:val="16"/>
      <w:szCs w:val="16"/>
    </w:rPr>
  </w:style>
  <w:style w:type="paragraph" w:styleId="889">
    <w:name w:val="Верхний колонтитул"/>
    <w:basedOn w:val="884"/>
    <w:next w:val="889"/>
    <w:link w:val="900"/>
    <w:pPr>
      <w:tabs>
        <w:tab w:val="center" w:pos="4677" w:leader="none"/>
        <w:tab w:val="right" w:pos="9355" w:leader="none"/>
      </w:tabs>
    </w:pPr>
  </w:style>
  <w:style w:type="character" w:styleId="890">
    <w:name w:val="Номер страницы"/>
    <w:basedOn w:val="885"/>
    <w:next w:val="890"/>
    <w:link w:val="884"/>
  </w:style>
  <w:style w:type="table" w:styleId="891">
    <w:name w:val="Сетка таблицы"/>
    <w:basedOn w:val="886"/>
    <w:next w:val="891"/>
    <w:link w:val="884"/>
    <w:tblPr/>
  </w:style>
  <w:style w:type="paragraph" w:styleId="892">
    <w:name w:val="ConsPlusNormal"/>
    <w:next w:val="892"/>
    <w:link w:val="89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3">
    <w:name w:val="ConsPlusNonformat"/>
    <w:next w:val="893"/>
    <w:link w:val="884"/>
    <w:rPr>
      <w:rFonts w:ascii="Courier New" w:hAnsi="Courier New"/>
      <w:lang w:val="ru-RU" w:bidi="ar-SA" w:eastAsia="ru-RU"/>
    </w:rPr>
    <w:pPr>
      <w:widowControl w:val="off"/>
    </w:pPr>
  </w:style>
  <w:style w:type="character" w:styleId="894">
    <w:name w:val="ConsPlusNormal Знак"/>
    <w:next w:val="894"/>
    <w:link w:val="892"/>
    <w:rPr>
      <w:rFonts w:ascii="Arial" w:hAnsi="Arial"/>
      <w:lang w:val="ru-RU" w:bidi="ar-SA" w:eastAsia="ru-RU"/>
    </w:rPr>
  </w:style>
  <w:style w:type="paragraph" w:styleId="895">
    <w:name w:val="Название"/>
    <w:basedOn w:val="884"/>
    <w:next w:val="895"/>
    <w:link w:val="884"/>
    <w:rPr>
      <w:b/>
      <w:sz w:val="32"/>
    </w:rPr>
    <w:pPr>
      <w:jc w:val="center"/>
      <w:widowControl/>
    </w:pPr>
  </w:style>
  <w:style w:type="paragraph" w:styleId="896">
    <w:name w:val="Основной текст 3"/>
    <w:basedOn w:val="884"/>
    <w:next w:val="896"/>
    <w:link w:val="884"/>
    <w:rPr>
      <w:sz w:val="16"/>
      <w:szCs w:val="16"/>
    </w:rPr>
    <w:pPr>
      <w:spacing w:after="120"/>
      <w:widowControl/>
    </w:pPr>
  </w:style>
  <w:style w:type="character" w:styleId="897">
    <w:name w:val="Гиперссылка"/>
    <w:next w:val="897"/>
    <w:link w:val="884"/>
    <w:rPr>
      <w:color w:val="0000FF"/>
      <w:u w:val="single"/>
    </w:rPr>
  </w:style>
  <w:style w:type="paragraph" w:styleId="898">
    <w:name w:val="Обычный (веб)"/>
    <w:basedOn w:val="884"/>
    <w:next w:val="898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9">
    <w:name w:val="western"/>
    <w:basedOn w:val="884"/>
    <w:next w:val="899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0">
    <w:name w:val="Верхний колонтитул Знак"/>
    <w:next w:val="900"/>
    <w:link w:val="889"/>
    <w:rPr>
      <w:lang w:val="ru-RU" w:bidi="ar-SA" w:eastAsia="ru-RU"/>
    </w:rPr>
  </w:style>
  <w:style w:type="paragraph" w:styleId="901">
    <w:name w:val="Нижний колонтитул"/>
    <w:basedOn w:val="884"/>
    <w:next w:val="901"/>
    <w:link w:val="90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2">
    <w:name w:val="Нижний колонтитул Знак"/>
    <w:next w:val="902"/>
    <w:link w:val="901"/>
    <w:rPr>
      <w:sz w:val="28"/>
      <w:lang w:val="ru-RU" w:bidi="ar-SA" w:eastAsia="ru-RU"/>
    </w:rPr>
  </w:style>
  <w:style w:type="paragraph" w:styleId="903">
    <w:name w:val="Основной текст"/>
    <w:basedOn w:val="884"/>
    <w:next w:val="903"/>
    <w:link w:val="884"/>
    <w:pPr>
      <w:spacing w:after="120"/>
    </w:pPr>
  </w:style>
  <w:style w:type="paragraph" w:styleId="904">
    <w:name w:val="Основной текст с отступом"/>
    <w:basedOn w:val="884"/>
    <w:next w:val="904"/>
    <w:link w:val="884"/>
    <w:pPr>
      <w:ind w:left="283"/>
      <w:spacing w:after="120"/>
    </w:pPr>
  </w:style>
  <w:style w:type="paragraph" w:styleId="905">
    <w:name w:val="Основной текст с отступом 3"/>
    <w:basedOn w:val="884"/>
    <w:next w:val="905"/>
    <w:link w:val="884"/>
    <w:rPr>
      <w:sz w:val="16"/>
      <w:szCs w:val="16"/>
    </w:rPr>
    <w:pPr>
      <w:ind w:left="283"/>
      <w:spacing w:after="120"/>
    </w:pPr>
  </w:style>
  <w:style w:type="paragraph" w:styleId="906">
    <w:name w:val="ConsNonformat"/>
    <w:next w:val="906"/>
    <w:link w:val="88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7">
    <w:name w:val="ConsNormal"/>
    <w:next w:val="907"/>
    <w:link w:val="88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8">
    <w:name w:val="Таблицы (моноширинный)"/>
    <w:basedOn w:val="884"/>
    <w:next w:val="884"/>
    <w:link w:val="884"/>
    <w:rPr>
      <w:rFonts w:ascii="Courier New" w:hAnsi="Courier New"/>
    </w:rPr>
    <w:pPr>
      <w:jc w:val="both"/>
    </w:pPr>
  </w:style>
  <w:style w:type="character" w:styleId="909">
    <w:name w:val="Основной текст2"/>
    <w:next w:val="909"/>
    <w:link w:val="88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0">
    <w:name w:val="ConsPlusTitle"/>
    <w:next w:val="910"/>
    <w:link w:val="884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11">
    <w:name w:val="No Spacing"/>
    <w:next w:val="911"/>
    <w:link w:val="884"/>
    <w:rPr>
      <w:rFonts w:ascii="Calibri" w:hAnsi="Calibri"/>
      <w:sz w:val="22"/>
      <w:szCs w:val="22"/>
      <w:lang w:val="ru-RU" w:bidi="ar-SA" w:eastAsia="ru-RU"/>
    </w:rPr>
  </w:style>
  <w:style w:type="character" w:styleId="912">
    <w:name w:val="Font Style30"/>
    <w:next w:val="912"/>
    <w:link w:val="884"/>
    <w:rPr>
      <w:rFonts w:ascii="Times New Roman" w:hAnsi="Times New Roman"/>
      <w:sz w:val="22"/>
      <w:szCs w:val="22"/>
    </w:rPr>
  </w:style>
  <w:style w:type="character" w:styleId="913" w:default="1">
    <w:name w:val="Default Paragraph Font"/>
    <w:uiPriority w:val="1"/>
    <w:semiHidden/>
    <w:unhideWhenUsed/>
  </w:style>
  <w:style w:type="numbering" w:styleId="914" w:default="1">
    <w:name w:val="No List"/>
    <w:uiPriority w:val="99"/>
    <w:semiHidden/>
    <w:unhideWhenUsed/>
  </w:style>
  <w:style w:type="paragraph" w:styleId="915" w:default="1">
    <w:name w:val="Normal"/>
    <w:qFormat/>
  </w:style>
  <w:style w:type="table" w:styleId="91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23</cp:revision>
  <dcterms:modified xsi:type="dcterms:W3CDTF">2025-05-26T07:48:13Z</dcterms:modified>
</cp:coreProperties>
</file>