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</w:t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         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2025-05-26T07:47:30Z</dcterms:modified>
</cp:coreProperties>
</file>